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2</w:t>
      </w:r>
    </w:p>
    <w:p>
      <w:pPr>
        <w:pStyle w:val="Title"/>
      </w:pPr>
      <w:r>
        <w:rPr>
          <w:rFonts w:ascii="Arial" w:hAnsi="Arial" w:eastAsia="Arial" w:cs="Arial"/>
          <w:i w:val="false"/>
          <w:b w:val="true"/>
          <w:u w:val="none"/>
          <w:strike w:val="false"/>
          <w:sz w:val="44"/>
          <w:szCs w:val="44"/>
          <w:color w:val="000000"/>
        </w:rPr>
        <w:t xml:space="preserve">Read a chart before trusting its story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Mark what the chart actually shows before accepting its caption. Then repair a conclusion that goes beyond the evidence.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pPr>
      <w:r>
        <w:rPr/>
        <w:drawing>
          <wp:inline distT="0" distB="0" distL="0" distR="0">
            <wp:extent cx="5760720" cy="2496312"/>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760720" cy="2496312"/>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Source: fictional GreenWaste city participants, the same businesses before and 12 months after. Recorded mean annual waste cost per business, AED.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1 Mark the chart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Circle the units. Mark where the axis starts. Underline the comparison and period in the source caption.</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2 What can it support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one supported statement and one conclusion it cannot establish.</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2</w:t>
      </w:r>
    </w:p>
    <w:p>
      <w:pPr>
        <w:pStyle w:val="Title"/>
      </w:pPr>
      <w:r>
        <w:rPr>
          <w:rFonts w:ascii="Arial" w:hAnsi="Arial" w:eastAsia="Arial" w:cs="Arial"/>
          <w:i w:val="false"/>
          <w:b w:val="true"/>
          <w:u w:val="none"/>
          <w:strike w:val="false"/>
          <w:sz w:val="44"/>
          <w:szCs w:val="44"/>
          <w:color w:val="000000"/>
        </w:rPr>
        <w:t xml:space="preserve">Check the caption and denominator</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Two summaries of participant landfill waste</w:t>
      </w:r>
    </w:p>
    <w:tbl xmlns:a="http://schemas.openxmlformats.org/drawingml/2006/main" xmlns:pic="http://schemas.openxmlformats.org/drawingml/2006/picture">
      <w:tblPr>
        <w:tblLayout w:type="fixed"/>
        <w:jc w:val="start"/>
        <w:tblLook w:firstRow="1" w:lastRow="0" w:firstColumn="0" w:lastColumn="0" w:noHBand="0" w:noVBand="1"/>
      </w:tblPr>
      <w:tblGrid>
        <w:gridCol w:w="4032"/>
        <w:gridCol w:w="1440"/>
        <w:gridCol w:w="3600"/>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Summary</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Result</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Weight</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Fall in total tonnes</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49.5%</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Larger starting tonnes count more</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Mean of business percentage falls</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58.6%</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Each business has equal weight</w:t>
            </w:r>
          </w:p>
        </w:tc>
      </w:tr>
    </w:tbl>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Both describe the same participants before and after. They answer different questions. Neither alone establishes cause. Ask what a percentage is a percentage of.</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Repair the cost chart caption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"The cost chart proves GreenWaste caused the saving for every city business."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a caption naming source, units, comparison and one limit. Work with a partner.</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Repair an illustrative AI caption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"GreenWaste caused a fall of almost half in every business's landfill waste. The before/after chart proves the programme works."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Point to what the landfill summary supports. Cross out unsupported words and rewrite.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Your check from memory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Close Sheet 1. What would you check first, and why? Work alone.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2</w:t>
      </w:r>
    </w:p>
    <w:p>
      <w:pPr>
        <w:pStyle w:val="Title"/>
      </w:pPr>
      <w:r>
        <w:rPr>
          <w:rFonts w:ascii="Arial" w:hAnsi="Arial" w:eastAsia="Arial" w:cs="Arial"/>
          <w:i w:val="false"/>
          <w:b w:val="true"/>
          <w:u w:val="none"/>
          <w:strike w:val="false"/>
          <w:sz w:val="44"/>
          <w:szCs w:val="44"/>
          <w:color w:val="000000"/>
        </w:rPr>
        <w:t xml:space="preserve">Trainer key for chart reading</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Participant pages 1 and 2 double-sided, one per person. This key is trainer only.</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Axes and comparison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Recorded costs 1,432 before and 763 after, city participants only. The two screen charts have identical values; one starts at 700 AED, the other at zero. The truncated bars exaggerate the visual proportion of the fall. Neither comparison isolates GreenWaste's effect or describes every city business.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Average and denominator</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ten-business landfill teaching selection has mean 10.0 tonnes, nine below it and one at 46. It is not a representative city distribution. Participant total-tonnes fall 49.5%; mean business percentage fall 58.6%. The first weights by starting tonnes, the second equally by business.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Interval and captions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Pilot estimate and interval use the canonical lottery model from Day 1. The interval spans the saving rule. Repair the cost caption as an observed mean fall for city participants, without a causal or all-business claim. For landfill, retain the approximate total fall, remove every-business and proof-of-cause assurances.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Delivery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One trainer calculation, prediction before Run; native axis toggle and evidence reveals. No school-zone case, pie-chart detour or discount-rate repeat. Source labels and limits matter more than choosing a visually flattering chart. Total 60 minutes.</w:t>
      </w:r>
    </w:p>
    <w:sectPr>
      <w:pgMar w:header="708" w:bottom="936" w:top="936" w:right="1008" w:left="100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qFormat/>
    <w:rPr>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8159df9d82e25b9a5a1359a1f2f7a874832068cc.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2026-10-06T21:53:28Z</dcterms:modified>
  <cp:category/>
</cp:coreProperties>
</file>