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By hand: four numbers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participant, single-sided: the next sheet is handed out later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GreenWaste businesses in the neighbourhoods where the programme was offered. Average annual waste-management costs (AED), before and after. The decision rule for scale-up: the programme must save at least 1,000 AED per business.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44"/>
        <w:gridCol w:w="1728"/>
        <w:gridCol w:w="1728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Before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After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648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Took part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1,449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784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not take part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2,079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2,230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Difference of the changes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Two subtractions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First difference: each group's change over time. This change removes fixed differences between the groups, but it still contains the general time trend.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Change for "took part":  ________      Change for "did not take part":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Second difference: the difference between those two changes. This second subtraction removes the time trend and leaves the estimated effect.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Difference-in-differences = (change for "took part") minus (change for "did not") =  ________ AED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Is the saving at least 1,000 AED?   Yes  /  No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Which row is the impact?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participant, separate sheet; hand out at 'Running the regression', after the hand calculation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same data as a regression, the way an evaluator would report it. Standard errors are clustered by neighbourhood.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584"/>
        <w:gridCol w:w="1440"/>
        <w:gridCol w:w="1008"/>
        <w:gridCol w:w="230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Coefficient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Std. error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p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2,079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[2,044, 2,114]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After (round 1)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151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[79, 224]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Enrolled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-630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[-669, -591]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After (round 1) x Enrolled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-816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[-881, -752]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1. Circle the row that is the programme's effect. Is that row's coefficient the same number you got by hand?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2. Two other rows are often reported as the effect by mistake. What does each of these two rows actually measure?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After (round 1) measures  __________________      Enrolled measures  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3. Look at the end of the effect's confidence interval with the smallest saving:  ________ AED.   Is that saving at least 1,000 AED?   Yes  /  No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4. Costs were measured only once before the programme and once after. Because of this, what can you not check about the two groups before the programme started?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AI Snapshot: explaining the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pair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Paste the regression table into an AI tool with this prompt: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"Explain this regression table to a non-technical decision-maker, and say what should be checked before believing the result."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 response like this is possible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table reports a difference-in-differences estimate. The programme reduced costs by 816 AED, and the effect is highly statistically significant (p &lt; 0.001), so the programme was a success. The confidence interval does not include zero, which confirms the finding is robust.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parallel trends assumption has been satisfied. The result clears the 1,000 AED threshold required for scale-up.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Underline the sentences that the table supports. Cross out the sentences that the table does not support.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Then run this prompt instead, and compare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"We have a difference-in-differences table. The data has two waves only, one before and one after, so no pre-trend test is possible. The decision rule is 1,000 AED. Explain what the table supports and, separately, list what it cannot tell us.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With the second prompt, does the AI still claim that parallel trends were satisfied? Then paste the second answer into a new chat and ask the AI to check that answer for claims about tests that were never run.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If you have time: a prompt that pushes the AI towards an answer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"Our DiD shows an 816 AED cut in costs (p&lt;0.001). Write two sentences for the minister recommending scale-up."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Does the AI mention the 1,000 AED rule or parallel trends without being asked?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Take-away card: three questions for a DiD result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participant, cut into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31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Facilitator key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trainer only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Four numbers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Took part 1,449 to 784: change -665. Did not take part 2,079 to 2,230: change +151. Difference of the changes: -816 AED. It does not clear 1,000. Watch the sign: the comparison group went up, so the effect is bigger than the 665 fall in the top row.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Which row is the impact?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1. After (round 1) x Enrolled, -816 AED: the same number as by hand. 2. After (round 1) (151) is the time trend, what happened to everyone; Enrolled (-630) is the baseline gap, how far apart the groups started. Many pick Enrolled because it is large and has the word in it. 3. 752 AED; the interval is -881 to -752, and even its most generous end (881) is short of 1,000. 4. Whether the groups were already moving in parallel: a pre-trend check needs at least two periods before the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AI Snapshot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Supported by the table: the 816 AED estimate and p &lt; 0.001. Not supported: "so the programme was a success" answers whether the effect is non-zero, not whether it clears 1,000. "Does not include zero, which confirms the finding is robust": not zero and big enough are different claims. "The parallel trends assumption has been satisfied" is the serious one: with one period before the programme it cannot be tested, so the model reported a test that was never run. "Clears the 1,000 AED threshold" is false: even the interval's most generous end is 881 AED.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With the second prompt, check whether the parallel-trends claim disappears. Supplying the constraint makes the error less likely; it does not rule it out.</w:t>
      </w:r>
    </w:p>
    <w:sectPr w:officer="true">
      <w:pgMar w:header="720" w:bottom="1008" w:top="1008" w:right="1152" w:left="1152" w:footer="720" w:gutter="720"/>
      <w:pgSz w:h="16838" w:w="11906" w:orient="portrait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2026-10-06T08:40:36Z</dcterms:modified>
  <cp:category/>
</cp:coreProperties>
</file>