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In Module 1 you saw three GreenWaste numbers. Today the trainer recalculates each number from the data. Your task: decide what is wrong with each number. The decision rule for national scale-up: the programme must save at least 1,000 AED per business.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440"/>
        <w:gridCol w:w="1296"/>
        <w:gridCol w:w="2160"/>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Module 1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Today's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Before and after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Enrolled vs not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-1,447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Randomised (drawn neighbourhoods)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trainer draws the offered neighbourhoods at random five times. Each time, look at the difference in costs before the programme between offered and not-offered neighbourhoods.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same difference when officials choose the neighbourhoods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With 4 neighbourhoods in the lottery, in 95 out of 100 draws the starting difference is smaller than ± ________ AED. With 196 neighbourhoods: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effect of the programme: ________ AED.   The 95% confidence interval for the effect (standard errors clustered by neighbourhood):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"Our pilot cut waste costs by 665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GreenWaste pilot produced a clear result: waste-management costs fell by 665 AED per business, and with p &lt; 0.001 we can be confident the programme caused this reduction. Because the same businesses were measured before and after, differences between businesses are already accounted for, so the 665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every claim in the response that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"Costs for participating businesses were 665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Which answer checks whether 665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for an RCT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2026-10-06T08:40:41Z</dcterms:modified>
  <cp:category/>
</cp:coreProperties>
</file>