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Ten roads that got speed cameras. Injury collisions per road in 2019, before the cameras.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168"/>
        <w:gridCol w:w="230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Road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Type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Injury collisions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SEC08-013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SEC12-020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SEC04-033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SEC02-023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school corridor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SEC08-002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SEC06-011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SEC05-018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42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mean (the average) number of collisions per road: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How many of the ten roads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median (the middle road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2. Remove the busiest road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moved more, and what does that tell you about a reported average?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the 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Average speed on the roads, before and after the cameras.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Average speed (km/h)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2019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2021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Camera roads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73.17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69.80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Roads without cameras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numbers describe this result. Write each one and say what it is: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change on camera roads:  ________     The gap in 2021:  ________     The gap in 2019: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is the effect of the cameras on speed, and why not the other two?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3. Which one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evaluations each report 1.8 fewer injury collisions per road. The bar is 2.0. Tick one for each.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These three results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prompt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What did it get wrong or overstate?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What did it get wrong or overstate?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"Fatal collisions on our camera roads fell 32%.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it ask what the 32%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"The coefficient on school_within_500m is -0.37.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it give you advice about schools?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You are the commissioner. Eight sentences from reports on the camera programme land on your desk. For each one: which of the three questions does it leave unanswered, and what do you do with it?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Unanswered: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The question you would send back</w:t>
            </w:r>
          </w:p>
        </w:tc>
      </w:tr>
      <w:tr>
        <w:trPr>
          <w:trHeight w:val="79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Then pick the one excerpt you would be most tempted to act on, and say what would have to be true first.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claims: the excerpts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1584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Fatal collisions on camera roads fell 32% over two years.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effect of cameras on speed is -3.4 km/h, 95% confidence interval -3.6 to -3.1.</w:t>
            </w:r>
          </w:p>
        </w:tc>
      </w:tr>
      <w:tr>
        <w:trPr>
          <w:trHeight w:val="1584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fall in speed is statistically significant (p &lt; 0.001), so every road should get a camera.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on camera roads and did not change on roads without them.</w:t>
            </w:r>
          </w:p>
        </w:tc>
      </w:tr>
      <w:tr>
        <w:trPr>
          <w:trHeight w:val="1584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average road in our sample had 13.5 injury collisions.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 study of 20 roads found no significant change in speed.</w:t>
            </w:r>
          </w:p>
        </w:tc>
      </w:tr>
      <w:tr>
        <w:trPr>
          <w:trHeight w:val="1584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coefficient on school_within_500m is -0.37, so schools near roads slow traffic.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more than on roads without cameras; the target was at least 3 km/h.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any number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2026-09-25T21:26:59Z</dcterms:modified>
  <cp:category/>
</cp:coreProperties>
</file>