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Module 1 gave you three GreenWaste numbers. Today you rebuild each one from the data and decide what is wrong with it. The bar for national scale-up: at least 1,000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440"/>
        <w:gridCol w:w="1296"/>
        <w:gridCol w:w="2160"/>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Module 1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We got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 too small / fair?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Enrolled vs not 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-1,447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(drawn neighbourhoods)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-1,014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Gap between offered and not-offered neighbourhoods before the programme, after five random draws: largest gap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gap when officials pick the neighbourhoods: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neighbourhoods in the lottery, 95% of draws start within ± ________ AED. With 196: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________ AED.   Its 95% interval, counted by neighbourhood: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Does it clear 1,000 AED at its least generous end?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665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GreenWaste pilot produced a clear result: waste-management costs fell by 665 AED per business, and with p &lt; 0.001 we can be confident the programme caused this reduction. Because the same businesses were measured before and after, differences between businesses are already accounted for, so the 665 AED saving can be attributed to the programme. This makes a strong case for national scale-up.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the evidence does not support. 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665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questions the 665 before writing the paragraph? Paste the better answer into a fresh chat and ask it to check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2026-09-25T21:27:00Z</dcterms:modified>
  <cp:category/>
</cp:coreProperties>
</file>