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before-and-after regression for the city businesses that took part in GreenWaste. Outcome: waste costs in AED per business per year, before the programme (after = 0) and 12 months later (after = 1). Standard errors are clustered by business.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1,431.5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1,417.5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1,445.6</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after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-669.8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-684.5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-655.1</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number is the before-and-after change? Circle that number.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Where is the confidence interval for that change? Draw a box around the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Which number is the average before the programme? Underline that number. Why is it not the effect of GreenWaste?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To know whether GreenWaste caused the change, what would you compare these businesses with? Write the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waste costs per business, before GreenWaste and 12 months after, for the city businesses that took part.</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3291840" cy="219456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 give the AI the chart, photograph the chart on this sheet and attach the photo to your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"What does this chart show? Did GreenWaste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chart shows a 47% reduction in waste costs after businesses joined GreenWaste, from 1,432 to 762 AED per business. This reduction is statistically significant (p &lt; 0.001), confirming that the programme caused the decline. The fall was consistent across all types of business, which suggests the effect is robust. Given the size of the effect, the programme should be scaled up nationally."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pairs: underline each claim in the response that you can see in the chart. Cross out each claim that the chart does not show.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shows average waste costs per business, before the GreenWaste programme and 12 months after, for the city businesses that took part. The rule for scaling up is a fall of at least 1,000 AED per business per year. Describe only what the chart shows. Then list what else could explain the change, and what comparison you would need before saying the programme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Run both prompts with the same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does the second answer include that the first answer left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Paste the second answer into a new chat and ask: which of these claims does the chart not support? Which claims does the new chat find?</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to ask the evaluator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The change is the after row: -669.8 AED per business (the slides round it to -670). 2. Its interval runs from -684.5 to -655.1. 3. The intercept, 1,431.5 AED, is the average before the programme for the city businesses that took part. It is a starting level with nothing to compare it against, so it says nothing about what GreenWaste did. 4. Businesses that did not take part, over the same 12 months. Their costs rose by 144 AED per business with no programme, so the fall of 670 likely understates what GreenWaste did. Whether they are a fair comparison (they all scored above 58) is the question for Session 3.</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Against the rule of 1,000 AED: the estimate (670) and the whole interval (655 to 685) fall short. The result is precise, so on how big and how sure the before-and-after number says do not scale up; compared to what is still open.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Correct: "47% reduction, 1,432 to 762". The bars show 1,432 and 762; the 47% can be worked out from them. Not on the chart: "p &lt; 0.001"; the model supplied a p-value it was never given. "Confirming that the programme caused": a before-and-after chart cannot show cause, and a small p-value says the fall is unlikely to be noise, not what caused it. "Consistent across all types of business": invented; the chart has no types of business, and 10% of the businesses that took part ended with higher costs. "Should be scaled up nationally": a recommendation with no rule and no comparison; the rule asks for 1,000 AED and the bars show a fall of 670.</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the second prompt, listen for answers that check the fall against the 1,000 AED rule, ask what happened to businesses that did not take part, and ask whether prices or waste fees changed.</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c302e0eca0ca8ed0737c15f28a674f517191529b.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2026-10-06T17:37:39Z</dcterms:modified>
  <cp:category/>
</cp:coreProperties>
</file>