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What went into the ratio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 (also the table groups paste into AI)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 both prompts. Which answer compares all the assumptions before picking one? Which answer gives you a number you could use to make a decision?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Stress-test scenario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2 sets, cut; hand out cards 1 to 5, then cards 1 to 3 again, so each of the 8 groups holds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456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Group recording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864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Settings we gave the trainer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prediction (before the trainer ran it)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 shown on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Realistic? Why or why not?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the programme still pay for itself (ratio above 1)?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Are the benefits realistic? Circle where the benefit figure comes from: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What change would make the benefit-cost ratio fall below 1?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judging a cost-benefit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"/>
        <w:gridCol w:w="4032"/>
        <w:gridCol w:w="1296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Card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Scenario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Ratio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Verdict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Old habits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1.07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1.40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ministry's rate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 shorter life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Old habits and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not pay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Base case 1.87. The rate alone does not flip it until about 24%. Two years of saving gives 0.80; break-even is about 2.5 years. Missing costs flip it at about 1,600 AED per business.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AI Snapshot: the arithmetic in version 1 holds (40% does push the ratio below 1) but it picks the easiest lever, gives no number for 'benefits delayed', and claims unsourced authority ('commonly observed in infrastructure appraisal').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Ratio wall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Setup, before the session: print Oct14_session1_board_A1.pdf at A1 and tape it to the wall (preview at the end of this pack). It is a line from 0 to 2.0 with break-even (1.0) in red and the headline (1.87) marked, a lane above for the predictions and a lane below for the cards. Each group needs one sticky note and a marker.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Running it: each group predicts its ratio and posts a sticky note, then reads out its settings. Enter them in the calculator on the "Your turn" slide; the group puts its card at the real ratio. Debrief from the wall: how far was each prediction from the real ratio? Only card 5 (two things going wrong at once) lands left of the red line. Groups holding the same card will often have predicted differently.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Wall board: the ratio wall (A1)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send Oct14_session1_board_A1.pdf to the printer at A1 (landscape); tape it to the wall. This page is only a preview</w:t>
      </w:r>
    </w:p>
    <w:p>
      <w:pPr>
        <w:pStyle w:val="Normal"/>
      </w:pPr>
      <w:r>
        <w:rPr/>
        <w:drawing>
          <wp:inline distT="0" distB="0" distL="0" distR="0">
            <wp:extent cx="6217920" cy="439254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61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5883ea2421cf5bb62d37e2c985456e44d2de704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2026-10-06T08:40:32Z</dcterms:modified>
  <cp:category/>
</cp:coreProperties>
</file>