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4, Session 1 · Is This Evidence Credible?</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Credibility rating sheet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participant, with the report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Work through the report one section at a time. For each section, circle a colour and write the main reason for your colour. Rate the executive summary first, on your own, before reading the rest of the report. Then rate Sections 3 to 7 in pairs. The Area to check column tells you which part of yesterday's QA checklist to use.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Wall grid: after each rating, put a sticky note with a few words of your reason on the wall grid, in the section's column and your colour's row. Summary: one note each. Sections 3 to 7: one note per pair. No names.</w:t>
      </w:r>
    </w:p>
    <w:tbl xmlns:a="http://schemas.openxmlformats.org/drawingml/2006/main" xmlns:pic="http://schemas.openxmlformats.org/drawingml/2006/picture">
      <w:tblPr>
        <w:tblLayout w:type="fixed"/>
        <w:jc w:val="center"/>
        <w:tblLook w:firstRow="1" w:lastRow="0" w:firstColumn="0" w:lastColumn="0" w:noHBand="0" w:noVBand="1"/>
      </w:tblPr>
      <w:tblGrid>
        <w:gridCol w:w="1728"/>
        <w:gridCol w:w="8064"/>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Colour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What it means</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Green</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Credible as it stands. You can trust this section without asking for more information.</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Amber</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Credible, but with one specific concern. Name the concern and say what information would remove that concern.</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Not credible. A problem in this section means you cannot trust a claim the section makes.</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17"/>
          <w:szCs w:val="17"/>
          <w:color w:val="545860"/>
        </w:rPr>
        <w:t xml:space="preserve">Section 2, The programme, describes the programme and is not rated.</w:t>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1584"/>
        <w:gridCol w:w="1584"/>
        <w:gridCol w:w="2592"/>
        <w:gridCol w:w="2016"/>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Section</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Area to check</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Colour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Your reason for selecting this colour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If amber or red: what would be needed to shift the colour to green?</w:t>
            </w:r>
          </w:p>
        </w:tc>
      </w:tr>
      <w:tr>
        <w:trPr>
          <w:trHeight w:val="1224"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 Executive summary</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Conclusions</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Green  /  Amber  /  Red</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224"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 Evaluation design</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Methodology; Assumptions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Green  /  Amber  /  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224"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 Data</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Data quality</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Green  /  Amber  /  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224" w:hRule="atLeast"/>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 Results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Methodology; Conclusions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Green  /  Amber  /  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224" w:hRule="atLeast"/>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6. Limitations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Assumptions; Data quality</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Green  /  Amber  /  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224" w:hRule="atLeast"/>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7. Conclusions and recommendations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Conclusions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Green  /  Amber  /  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4, Session 1 · Is This Evidence Credible?</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Your verdict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on the back of the rating sheet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Based on this evaluation, would you approve national scale-up?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Before reading the report:   Yes  /  No  /  Not without more answers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After reading the report:     Yes  /  No  /  Not without more answers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single most important problem you found:</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strongest part of the report. Is that part strong enough to support the recommendation, despite the problems you found?</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Compare your colour for the executive summary with your colour for the results section. If they differ, what did the summary lead you to believe?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4, Session 1 · Is This Evidence Credible?</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AI Snapshot: a credibility verdict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group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18"/>
          <w:szCs w:val="18"/>
          <w:color w:val="545860"/>
        </w:rPr>
        <w:t xml:space="preserve">The report is on the course website: download Oct15_session1_report.docx from the landing page.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The prompt, with the report pasted in:</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22"/>
          <w:szCs w:val="22"/>
          <w:color w:val="000000"/>
        </w:rPr>
        <w:t xml:space="preserve">"Here is an evaluation report on a programme that subsidised waste-management technology for businesses. It found a cost reduction of approximately 1,000 AED per business per year and recommends national scale-up. Assess the credibility of this evidence and tell me whether the recommendation is sound."</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Assessment: the evidence is credible and the recommendation is sound. The report is unusually thorough for this kind of evaluation. Several points support its credibility: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Multiple methods. The use of four estimation approaches, all producing consistent results, is a strong indicator of robustness. When independent methods agree, the finding is unlikely to be an artefact of any single specification.</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Large sample. With roughly 9,900 observations, the study is well powered and the estimates are precise.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Transparency. The report discloses a change in the survey instrument between rounds and notes the gaps in the recycling compliance data. This level of disclosure suggests a careful and honest evaluation team.</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Appropriate limitations. The limitations section correctly identifies that the randomised comparison estimates the offer effect and that the RDD estimate is local to the cut-off.</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Recommendation. The headline estimate of 1,014 AED exceeds the 1,000 AED threshold, so the programme meets the criterion for scale-up. The recommendation is supported by the evidence.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1. Underline the two claims in the AI's response that the report does not support.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2. There is a bigger problem that the response never mentions. What is that problem?</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3. Compare this response with the answer your own AI gave.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22"/>
          <w:szCs w:val="22"/>
          <w:color w:val="000000"/>
        </w:rPr>
        <w:t xml:space="preserve">"The same report claims a cost reduction of approximately 1,000 AED against a decision threshold of 1,000 AED. Do three things. First, list every estimate the report gives, with its confidence interval, and say for each one whether it clears the threshold. Second, identify any claim in the executive summary that is not supported by the results section, and quote both. Third, tell me what the report does not tell me that I would need in order to decide."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Two habits: ask the AI to ask you questions before it answers, and paste the AI's answer into a new chat and ask the AI to check that answer.</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4, Session 1 · Is This Evidence Credible?</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Take-away card: three habits for reading a report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participant, cut into cards</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4032"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habits for reading a report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Read the limitations section, then check whether the limitations section names the problems in the data section. If those problems are missing, ask why they were left 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Find the preferred specification (the estimate the evaluators trust most). Check whether the headline number is that estimate. When the two differ, ask why.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habits for reading a report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Read the limitations section, then check whether the limitations section names the problems in the data section. If those problems are missing, ask why they were left 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Find the preferred specification (the estimate the evaluators trust most). Check whether the headline number is that estimate. When the two differ, ask why.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4032"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habits for reading a report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Read the limitations section, then check whether the limitations section names the problems in the data section. If those problems are missing, ask why they were left 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Find the preferred specification (the estimate the evaluators trust most). Check whether the headline number is that estimate. When the two differ, ask why.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habits for reading a report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Read the limitations section, then check whether the limitations section names the problems in the data section. If those problems are missing, ask why they were left 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Find the preferred specification (the estimate the evaluators trust most). Check whether the headline number is that estimate. When the two differ, ask why.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4032"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habits for reading a report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Read the limitations section, then check whether the limitations section names the problems in the data section. If those problems are missing, ask why they were left 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Find the preferred specification (the estimate the evaluators trust most). Check whether the headline number is that estimate. When the two differ, ask why.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habits for reading a report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Read the limitations section, then check whether the limitations section names the problems in the data section. If those problems are missing, ask why they were left 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Find the preferred specification (the estimate the evaluators trust most). Check whether the headline number is that estimate. When the two differ, ask why.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4, Session 1 · Is This Evidence Credible?</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Facilitator key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trainer only</w:t>
      </w:r>
    </w:p>
    <w:tbl xmlns:a="http://schemas.openxmlformats.org/drawingml/2006/main" xmlns:pic="http://schemas.openxmlformats.org/drawingml/2006/picture">
      <w:tblPr>
        <w:tblLayout w:type="fixed"/>
        <w:jc w:val="center"/>
        <w:tblLook w:firstRow="1" w:lastRow="0" w:firstColumn="0" w:lastColumn="0" w:noHBand="0" w:noVBand="1"/>
      </w:tblPr>
      <w:tblGrid>
        <w:gridCol w:w="1872"/>
        <w:gridCol w:w="3888"/>
        <w:gridCol w:w="403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Section</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What is genuinely good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The planted problem</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1. Executive summary</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States the decision threshold up front and reports an estimate against it. The reader knows what is being claimed and by what standard.</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It claims the programme “meets the threshold” and reports “approximately 1,000” as if all four methods agreed. Only the matched comparison gives 1,000, and the preferred specification gives 816.</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3. Evaluation design</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Four methods reported with their different target populations named. Most reports of this kind give one number and no way to interrogate it.</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It asserts that parallel trends is “satisfied by construction” because the neighbourhoods share an administrative area. That is not what the assumption requires, and no pre-trend test is reported. The defence is also about the wrong groups: the DiD compares enrolled with non-enrolled businesses inside treatment neighbourhoods, but the argument is about treatment and control neighbourhoods.</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4. Data</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Names the outcome, gives sample sizes, and discloses that the survey instrument changed between rounds. Disclosure is the right instinct.</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Recycling compliance is missing for 8,570 of 19,826 observations, and the gap is put down to “the inspection schedule” without saying which businesses are missing. (In the data, it is every ineligible business.) The instrument change is called a refinement without any test that it did not shift the outcome.</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5. Results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A full table with confidence intervals for every method, plus an annex of robustness specifications. Nothing is hidden in a footnote.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The headline result is the largest of the four estimates, chosen because of the population it covers rather than because the design is stronger. The preferred specification fails the threshold and the report does not say so.</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6. Limitations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Three limitations stated plainly, and the offer-versus-enrolment and near-the-cut-off points are technically correct.</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All three are boilerplate that leave the conclusion intact. The problems raised in the data section (the instrument change and the unexplained gap in the compliance data) are never carried through to here.</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7. Conclusions and recommendations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Recommendations are specific enough to act on.</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Recommendations 2 and 3 are not supported by anything in the evaluation: nothing was estimated about subsidy rates, and the cut-off finding is about a different population from the one being scaled up.</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The most important problem</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results section. The headline is the one estimate that clears the threshold, and the report never says that its own preferred specification, named in Section 3, does not. A reader who stops after the executive summary would conclude the programme pays for itself. It does not, on the evidence reported here.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Wall grid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Setup, before the session: print Oct15_session1_board_A1.pdf at A1 (two sheets) and tape the sheets side by side (preview at the end of this pack). Sheet 1 is the executive summary on its own, because everyone posts one note there; sheet 2 has a column for each of Sections 3 to 7. Both have three rows: Green, Amber, Red. Use small sticky notes (about 38 x 51 mm) so they fit: each participant needs about four, and a pen. The notes can be any colour, because the row gives the colour.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Running it: participants post their executive-summary note after the five minutes alone, and pairs post one note per section as they finish each one. In the debrief, read each column from the wall before the slide's reveal, in place of a show of colours. The pattern to expect: the executive-summary column leans green and the Results column leans amber or red. Put the two columns side by side at "The same question": what did the summary lead people to believe?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AI Snapshot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two unsupported claims: "the programme meets the criterion for scale-up" and "the recommendation is supported by the evidence". The larger problem: the response reads "approximately 1,000" as if all four methods agreed (only the matched comparison gives 1,000), and never notices that the preferred specification is 816, which fails the threshold, or asks whether 1,014 was chosen as the headline because it clears the bar. It also treats the compliance gap as evidence of honesty instead of asking which businesses are missing. What it did well: it found the real disclosures, described the offer-effect and locality limitations correctly, and reached a verdict. The better prompt asks for a comparison instead of a verdict, so the 816 is hard to miss.</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4, Session 1 · Is This Evidence Credible?</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Wall board: the credibility grid (A1, two sheets)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send Oct15_session1_board_A1.pdf to the printer at A1 (landscape), 2 sheets; tape it to the wall. This page is only a preview</w:t>
      </w:r>
    </w:p>
    <w:p>
      <w:pPr>
        <w:pStyle w:val="Normal"/>
      </w:pPr>
      <w:r>
        <w:rPr/>
        <w:drawing>
          <wp:inline distT="0" distB="0" distL="0" distR="0">
            <wp:extent cx="6217920" cy="4392545"/>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cstate="print" r:embed="rId7"/>
                    <a:stretch>
                      <a:fillRect/>
                    </a:stretch>
                  </pic:blipFill>
                  <pic:spPr bwMode="auto">
                    <a:xfrm>
                      <a:off x="0" y="0"/>
                      <a:ext cx="86360" cy="61008"/>
                    </a:xfrm>
                    <a:prstGeom prst="rect">
                      <a:avLst/>
                    </a:prstGeom>
                    <a:noFill/>
                  </pic:spPr>
                </pic:pic>
              </a:graphicData>
            </a:graphic>
          </wp:inline>
        </w:drawing>
      </w:r>
    </w:p>
    <w:p>
      <w:pPr>
        <w:pStyle w:val="Normal"/>
      </w:pPr>
      <w:r>
        <w:rPr/>
        <w:drawing>
          <wp:inline distT="0" distB="0" distL="0" distR="0">
            <wp:extent cx="6217920" cy="4392545"/>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cstate="print" r:embed="rId8"/>
                    <a:stretch>
                      <a:fillRect/>
                    </a:stretch>
                  </pic:blipFill>
                  <pic:spPr bwMode="auto">
                    <a:xfrm>
                      <a:off x="0" y="0"/>
                      <a:ext cx="86360" cy="61008"/>
                    </a:xfrm>
                    <a:prstGeom prst="rect">
                      <a:avLst/>
                    </a:prstGeom>
                    <a:noFill/>
                  </pic:spPr>
                </pic:pic>
              </a:graphicData>
            </a:graphic>
          </wp:inline>
        </w:drawing>
      </w:r>
    </w:p>
    <w:sectPr w:officer="true">
      <w:pgMar w:header="720" w:bottom="1008" w:top="1008" w:right="1152" w:left="1152" w:footer="720" w:gutter="720"/>
      <w:pgSz w:h="16838" w:w="11906" w:orient="portrait"/>
      <w:cols/>
      <w:type w:val="continuou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0435f190ec0034897002c4d4bca092c2a26ee7c3.png"/>
<Relationship Id="rId8" Type="http://schemas.openxmlformats.org/officeDocument/2006/relationships/image" Target="media/35f5268a3457c32c7c37140d568bff83e52ffde5.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2026-10-06T08:40:39Z</dcterms:modified>
  <cp:category/>
</cp:coreProperties>
</file>