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ten businesses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Ten businesses in the rest of the city. Waste each one sent to landfill in the year before GreenWaste, in tonnes.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1728"/>
        <w:gridCol w:w="2592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Business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Staff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Landfill (tonnes)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B00755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B04954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B01673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B07507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B08013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B01274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B02136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B03791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B05600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B03836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46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mean (the average) landfill per business: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How many of the ten businesses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median (the middle business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2. Remove the largest business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changed more, the mean or the median? What does this tell you about an average in a report?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the landfill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Average landfill per business in the rest of the city (tonnes per year), before GreenWaste and 12 months after.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Average landfill (tonnes)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6.63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3.35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11.17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10.58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Copy these three numbers from your table: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change for those that took part:  ________     The gap after:  ________     The gap before: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of these three numbers is the effect of GreenWaste on landfill? Why are the other two numbers not the effect?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3. Which report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evaluations of GreenWaste each report 1.8 tonnes less landfill per business per year. The city's target: at least 2.0 tonnes less. For each report, tick one box.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These three results and the target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prompt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"Landfill waste from businesses in our programme fell 50%.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ask what the 50%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"The coefficient on area is -0.22.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give you advice about premises?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You are the commissioner. You receive four sentences from reports on GreenWaste. For each sentence: which of the three questions (compared to what? how big? how sure?) does the sentence not answer? Would you act on the sentence, not act, or ask a question first?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Question the sentence does not answer: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The question you would ask the evaluator</w:t>
            </w:r>
          </w:p>
        </w:tc>
      </w:tr>
      <w:tr>
        <w:trPr>
          <w:trHeight w:val="115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the trainer uses the wall board: write each excerpt number (1 to 4) in your group's colour in the cell that matches your answer (row: the question it does not answer; column: act, ask first or do not act).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excerpt would you most want to act on? What would you need to know before acting on that excerpt?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claims: the excerpts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Landfill waste from businesses in GreenWaste fell 50% in a year.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The effect of GreenWaste on landfill is -2.69 tonnes per business, 95% confidence interval -2.75 to -2.64.</w:t>
            </w:r>
          </w:p>
        </w:tc>
      </w:tr>
      <w:tr>
        <w:trPr>
          <w:trHeight w:val="316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The fall in landfill is statistically significant (p &lt; 0.001), so every business in the country should join GreenWaste.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Landfill fell 3.3 tonnes per business among those that took part and 0.6 tonnes among those that did not.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any number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2026-10-06T17:38:54Z</dcterms:modified>
  <cp:category/>
</cp:coreProperties>
</file>