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before-and-after regression for the city businesses that took part in GreenWaste. Outcome: waste costs in AED per business per year, before the programme (after = 0) and 12 months later (after = 1). Standard errors are clustered by business. The p-value is the column R printed as Pr(&gt;|t|).</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584"/>
        <w:gridCol w:w="1296"/>
        <w:gridCol w:w="1440"/>
        <w:gridCol w:w="144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Estimate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Std. Error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p-value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Lower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Upper</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(Intercept)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1,431.5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1,417.5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1,445.6</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after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-669.8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-684.5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-655.1</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On the table above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Which number is the before-and-after change? Circle that number.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Where is the confidence interval for that change? Draw a box around the interval.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Which number is the average before the programme? Underline that number. Why is it not the effect of GreenWaste?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4. To know whether GreenWaste caused the change, what would you compare these businesses with? Write the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ask AI to read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waste costs per business, before GreenWaste and 12 months after, for the city businesses that took part.</w:t>
      </w:r>
    </w:p>
    <w:p>
      <w:pPr>
        <w:pStyle w:val="Normal"/>
      </w:pPr>
      <w:r>
        <w:rPr/>
        <w:drawing>
          <wp:inline distT="0" distB="0" distL="0" distR="0">
            <wp:extent cx="3291840" cy="219456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3291840" cy="219456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 give the AI the chart, photograph the chart on this sheet and attach the photo to your prompt.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most people would type, with a picture of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"What does this chart show? Did GreenWaste work?"</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chart shows a 47% reduction in waste costs after businesses joined GreenWaste, from 1,432 to 762 AED per business. This reduction is statistically significant (p &lt; 0.001), confirming that the programme caused the decline. The fall was consistent across all types of business, which suggests the effect is robust. Given the size of the effect, the programme should be scaled up nationally."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In pairs: underline each claim in the response that you can see in the chart. Cross out each claim that the chart does not show.</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chart shows average waste costs per business, before the GreenWaste programme and 12 months after, for the city businesses that took part. The rule for scaling up is a fall of at least 1,000 AED per business per year. Describe only what the chart shows. Then list what else could explain the change, and what comparison you would need before saying the programme caused it. Before you answer, ask me any questions you need."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Run both prompts with the same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What does the second answer include that the first answer left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Paste the second answer into a new chat and ask: which of these claims does the chart not support? Which claims does the new chat find?</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to ask the evaluator</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c302e0eca0ca8ed0737c15f28a674f517191529b.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2026-10-06T17:39:01Z</dcterms:modified>
  <cp:category/>
</cp:coreProperties>
</file>