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What went into the ratio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456"/>
        <w:gridCol w:w="3312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Step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Value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Source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Cost per business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1,800 AED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programme records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Annual saving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816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measured (Day 2 difference-in-differences)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Years of saving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5, starting in year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Discount rate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5% a year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Savings, in today's money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3,365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calculated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Benefit-cost ratio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3,365 / 1,800 = 1.87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calculated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prompt, version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"Generate one plausible scenario in which this programme's benefit-cost ratio falls below 1. Then tell me whether that scenario is realistic."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prompt, version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"Here is a cost-benefit model. The cost and annual saving are measured; the discount rate and the number of benefit years are assumptions. Tell me which single assumption moves the ratio most, give the ratio under a realistic alternative, and say whether a government agency would normally make that assumption.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Run both prompts. Which answer compares all the assumptions before picking one? Which answer gives you a number you could use to make a decision?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Stress-test scenario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456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1 · Old habits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Businesses drift back to their old waste practices. The saving shrinks by 30% every year after the first.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Saving shrinks each year: 30%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2 · The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authority's set-up, administration and the businesses' own time add 600 AED per business that the headline left out.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Costs left out: 600 AED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456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3 · The finance ministry's rate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finance ministry insists on its standard discount rate of 8% instead of 5%.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Discount rate: 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4 · A shorter life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new equipment is replaced after three years, so the saving lasts three years, not five.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Years the saving lasts: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456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5 · Old habits and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Both card 1 and card 2 happen.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Shrinks 30% a year, and 600 AED left 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Group recording sheet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662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Answer</w:t>
            </w:r>
          </w:p>
        </w:tc>
      </w:tr>
      <w:tr>
        <w:trPr>
          <w:trHeight w:val="864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Our card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Settings we gave the trainer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Our prediction (before the trainer ran it)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Benefit-cost ratio shown on screen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Realistic? Why or why not?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Does the programme still pay for itself (ratio above 1)?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One question for the evaluator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 three questions, for GreenWaste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Are the benefits realistic? Circle where the benefit figure comes from:  Measured  /  Modelled  /  Assumed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Are all the costs included?  What is missing?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What change would make the benefit-cost ratio fall below 1?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judging a cost-benefit claim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5883ea2421cf5bb62d37e2c985456e44d2de704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2026-10-06T08:40:41Z</dcterms:modified>
  <cp:category/>
</cp:coreProperties>
</file>