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Reading Impact Evaluation Results · the case for the week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0"/>
          <w:szCs w:val="40"/>
          <w:color w:val="063360"/>
        </w:rPr>
        <w:t xml:space="preserve">The GreenWaste programme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9"/>
          <w:szCs w:val="19"/>
          <w:color w:val="545860"/>
        </w:rPr>
        <w:t xml:space="preserve">Invented for this training. Keep this page: every GreenWaste session uses it.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What it 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3312"/>
        <w:gridCol w:w="3312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What it does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Who it is for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B8272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B8272C"/>
              </w:rPr>
              <w:t xml:space="preserve">The decision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subsidy for new waste equipment, technical help to install it, and training for staff.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Businesses with an efficiency score of 58 or below. Every business has a score from 0 to 100; higher means more efficient.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 up nationally only if waste costs fall by at least 1,000 AED per business per year.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How it reached businesses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2304"/>
        <w:gridCol w:w="3744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Businesses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Who took part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Measured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Pilot district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400, all scoring 58 or below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lottery picked 200; the other 200 waited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Waste costs before, and 12 months after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Rest of the city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6,000, every score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rule: every business scoring 58 or below took part (2,886); the 3,114 above did not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Waste costs before, and 12 months after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Four groups of businesses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9"/>
          <w:szCs w:val="19"/>
          <w:color w:val="545860"/>
        </w:rPr>
        <w:t xml:space="preserve">Average waste costs per business, in AED, before and 12 months after.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3528"/>
        <w:gridCol w:w="3528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Took part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Did not take part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Pilot district (lottery)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 businesses:  1,399 → 744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 businesses:  1,397 → 1,758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Rest of the city (score rule)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2,886 businesses:  1,411 → 742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3,114 businesses:  2,097 → 2,245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Every method this week compares the businesses that took part with one of the other groups. The question each session asks: compared with whom, and is that a fair comparison?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The data: one row per business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6768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Column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Meaning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business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 identifier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pilot (the lottery) or city (the rule)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efficiency score, 0 to 100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took_part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if the business took part in GreenWaste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cost_before, cost_after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waste-management costs in AED, before and 12 months after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manager_age, staff, area, filtration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manager's age; number of staff; premises area (100 m2); 1 if advanced filtration was already installed</w:t>
            </w:r>
          </w:p>
        </w:tc>
      </w:tr>
    </w:tbl>
    <w:sectPr>
      <w:pgMar w:header="708" w:bottom="864" w:top="864" w:right="1080" w:left="108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2026-10-06T10:16:38Z</dcterms:modified>
  <cp:category/>
</cp:coreProperties>
</file>