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670 AED per business, and with p &lt; 0.001 we can be confident the programme caused this reduction. Because the same businesses were measured before and after, differences between businesses are already accounted for, so the 670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in the response that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and after -670: too small; costs for city businesses that did not take part rose about 144 AED, so the fall understates the effect. Took part vs did not -1,639: too big; the groups differed by -825 AED before the programme. Randomised -1,014: fair. 95% interval -1,167 to -862: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Lottery: random draws among the 400 pilot businesses start within a few dozen AED; officials picking the cheapest-to-run businesses start about 749 AED apart. 4 businesses: about ± 952 AED; 400: about ± 95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670 as the effect; the randomised estimate is about 1,014. 4. It recommends scale-up without asking what bar the programme must clear.</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2026-10-06T17:36:57Z</dcterms:modified>
  <cp:category/>
</cp:coreProperties>
</file>