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4 | Session 2</w:t>
      </w:r>
    </w:p>
    <w:p>
      <w:pPr>
        <w:pStyle w:val="Title"/>
      </w:pPr>
      <w:r>
        <w:rPr>
          <w:rFonts w:ascii="Arial" w:hAnsi="Arial" w:eastAsia="Arial" w:cs="Arial"/>
          <w:i w:val="false"/>
          <w:b w:val="true"/>
          <w:u w:val="none"/>
          <w:strike w:val="false"/>
          <w:sz w:val="44"/>
          <w:szCs w:val="44"/>
          <w:color w:val="000000"/>
        </w:rPr>
        <w:t xml:space="preserve">Corrected GreenWaste evidence for a brief</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Use this reference when writing a recommendation. It corrects the review report's planted overclaims. Each numbered finding is a source anchor for peer review.</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Fictional GreenWaste case | invented figures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1 Pilot result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The pilot lottery estimate is 1,014 AED annual saving per business after 12 months. The 95% interval is 862 to 1,167. It spans the 1,000 AED rule; the result describes one district.</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2 City comparisons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City extra change: 812 AED, interval 792 to 833, below the rule. Earlier parallel change cannot be checked with one before measure. The local score estimate and matching have their own limitations. City methods share records, not independent studies.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3 Value for money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The provisional model ratio is 1.86 using the city extra-change saving. One-off cost 1,800 AED, savings in years 2 to 6 and 5% discounting are fictional assumptions. A ratio above 1 is a model result, not proof of nationwide value.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4 Evidence still needed</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No real fieldwork records, earlier trends or score-manipulation evidence are supplied. Request the evidence relevant to your proposed action, including delivery reach, omitted costs and saving duration. Complete generated rows do not resolve these questions.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2"/>
          <w:szCs w:val="22"/>
          <w:color w:val="000000"/>
        </w:rPr>
        <w:t xml:space="preserve">Source: corrected synthetic GreenWaste case and the shared cost assumptions. Annual savings are in AED per business, 12 months after. Results describe their stated comparisons and populations.</w:t>
      </w:r>
    </w:p>
    <w:sectPr>
      <w:pgMar w:header="708" w:bottom="936" w:top="936" w:right="1008" w:left="1008" w:footer="708"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w:type="paragraph" w:styleId="Title">
    <w:name w:val="Title"/>
    <w:basedOn w:val="Normal"/>
    <w:next w:val="Normal"/>
    <w:qFormat/>
    <w:rPr>
      <w:color w:val="000000"/>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2026-10-06T22:15:48Z</dcterms:modified>
  <cp:category/>
</cp:coreProperties>
</file>