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Module 1 gave you three GreenWaste numbers. Today you rebuild each one from the data and decide what is wrong with it. The bar for national scale-up: at least 1,000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440"/>
        <w:gridCol w:w="1296"/>
        <w:gridCol w:w="2160"/>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Module 1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We got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 too small / fair?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Enrolled vs not enrolled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-1,447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(drawn neighbourhoods)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-1,014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Gap between offered and not-offered neighbourhoods before the programme, after five random draws: largest gap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gap when officials pick the neighbourhoods: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neighbourhoods in the lottery, 95% of draws start within ± ________ AED. With 196: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________ AED.   Its 95% interval, counted by neighbourhood: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Does it clear 1,000 AED at its least generous end?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665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GreenWaste pilot produced a clear result: waste-management costs fell by 665 AED per business, and with p &lt; 0.001 we can be confident the programme caused this reduction. Because the same businesses were measured before and after, differences between businesses are already accounted for, so the 665 AED saving can be attributed to the programme. This makes a strong case for national scale-up.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the evidence does not support. 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665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questions the 665 before writing the paragraph? Paste the better answer into a fresh chat and ask it to check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errors clustered where you randomised, and does the interval clear our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Before and after -665: too small; costs for non-participants rose about 150 AED, so the fall understates the effect. Enrolled vs not -1,447: too big; the groups differed by -630 AED before the programme. Randomised -1,014: fair. Interval counted by neighbourhood about -1,093 to -935: the estimate clears 1,000, the interval spans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Lottery: random draws start within a few dozen AED; officials picking the cheapest-to-run neighbourhoods start hundreds of AED ahead. 4 neighbourhoods: about ± 400 AED; 196: a few dozen.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 four errors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Significant is not causal: p &lt; 0.001 says the fall is unlikely to be chance, not what caused it. 2. Half right: following the same businesses removes fixed differences but not what changed for everyone. 3. It reports 665 as the effect; the randomised estimate is about 1,014. 4. It recommends scale-up without asking what bar the programme must clear.</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2026-09-25T20:28:05Z</dcterms:modified>
  <cp:category/>
</cp:coreProperties>
</file>