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What went into the ratio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group (also the table groups paste into AI)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456"/>
        <w:gridCol w:w="3312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Step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Value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Source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Cost per business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1,800 AED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programme records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Annual saving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816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measured (Day 2 difference-in-differences)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Years of saving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5, starting in year 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Discount rate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5% a year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Savings, in today's money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3,365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calculated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Benefit-cost ratio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3,365 / 1,800 = 1.87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calculated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prompt, version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"Generate one plausible scenario in which this programme's benefit-cost ratio falls below 1. Then tell me whether that scenario is realistic."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prompt, version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"Here is a cost-benefit model. The cost and annual saving are measured; the discount rate and the number of benefit years are assumptions. Tell me which single assumption moves the ratio most, give the ratio under a realistic alternative, and say whether a government agency would normally make that assumption.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Run both. Which one ranks the assumptions before choosing one? Which one gives you a number you can act on?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Stress-test scenario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set, cut; each group takes one card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16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 · Old habits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Businesses drift back to their old waste practices. The saving shrinks by 30% every year after the first.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Saving shrinks each year: 30%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 · The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authority's set-up, administration and the businesses' own time add 600 AED per business that the headline left out.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Costs left out: 600 AED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</w:tr>
      <w:tr>
        <w:trPr>
          <w:trHeight w:val="316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 · The finance ministry's rate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finance ministry insists on its standard discount rate of 8% instead of 5%.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Discount rate: 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 · A shorter life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new equipment is replaced after three years, so the saving lasts three years, not five.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Years the saving lasts: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</w:tr>
      <w:tr>
        <w:trPr>
          <w:trHeight w:val="3168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5 · Old habits and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Both card 1 and card 2 happen.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Shrinks 30% a year, and 600 AED left out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Group recording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662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Answer</w:t>
            </w:r>
          </w:p>
        </w:tc>
      </w:tr>
      <w:tr>
        <w:trPr>
          <w:trHeight w:val="100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Our card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Settings we called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Ratio on the screen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Plausible? Why?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Verdict: pays for itself?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One question for the evaluator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 three questions, for GreenWaste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Are the benefits plausible?  Measured  /  Modelled  /  Assumed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2. Are all the costs included?  What is missing?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3. What would flip the result?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judging a cost-benefit claim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60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trainer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"/>
        <w:gridCol w:w="4032"/>
        <w:gridCol w:w="1296"/>
        <w:gridCol w:w="230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Card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Scenario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Ratio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Verdict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Old habits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1.07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hidden costs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1.40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finance ministry's rate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1.68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 shorter life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Old habits and hidden costs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does not pay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Base case 1.87. The rate alone does not flip it until about 24%. Two years of saving gives 0.80; break-even is about 2.5 years. Missing costs flip it at about 1,600 AED per business.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AI Snapshot: the arithmetic in version 1 holds (40% does push the ratio below 1) but it picks the easiest lever, gives no number for 'benefits delayed', and claims unsourced authority ('commonly observed in infrastructure appraisal').</w:t>
      </w:r>
    </w:p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2026-09-25T20:28:08Z</dcterms:modified>
  <cp:category/>
</cp:coreProperties>
</file>