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2</w:t>
      </w:r>
    </w:p>
    <w:p>
      <w:pPr>
        <w:pStyle w:val="Title"/>
      </w:pPr>
      <w:r>
        <w:rPr>
          <w:rFonts w:ascii="Arial" w:hAnsi="Arial" w:eastAsia="Arial" w:cs="Arial"/>
          <w:i w:val="false"/>
          <w:b w:val="true"/>
          <w:u w:val="none"/>
          <w:strike w:val="false"/>
          <w:sz w:val="44"/>
          <w:szCs w:val="44"/>
          <w:color w:val="000000"/>
        </w:rPr>
        <w:t xml:space="preserve">Write a defensible recommendation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Write at most 150 words for a director. Use the corrected findings reference. Each factual or causal claim needs a source. Draft without AI before peer review.</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Fictional GreenWaste case | invented figures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Finding and source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Recommendation and condition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Important risk or limit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Next evidence and its purpose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2</w:t>
      </w:r>
    </w:p>
    <w:p>
      <w:pPr>
        <w:pStyle w:val="Title"/>
      </w:pPr>
      <w:r>
        <w:rPr>
          <w:rFonts w:ascii="Arial" w:hAnsi="Arial" w:eastAsia="Arial" w:cs="Arial"/>
          <w:i w:val="false"/>
          <w:b w:val="true"/>
          <w:u w:val="none"/>
          <w:strike w:val="false"/>
          <w:sz w:val="44"/>
          <w:szCs w:val="44"/>
          <w:color w:val="000000"/>
        </w:rPr>
        <w:t xml:space="preserve">Review and repair the brief</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partner checks the source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Which action is proposed? Which finding supports its strongest claim? What important uncertainty or limit would the director miss?</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Specific suggested repair and finding number</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My revised sentence and its effect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Repair an illustrative AI draft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GreenWaste saves 1,014 AED per business per year. The pilot settles the 1,000 AED rule, so expand nationally. The 1.86 ratio proves good value and no further cost evidence is required.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Mark accurate numbers and unsupported assurances. Write one source-based correction.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My independent request and purpose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evidence should the evaluator send, and how would I use it?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If assigned a reading retry, write its number and answer on the back or on the trainer's retry slip.</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4 | Session 2</w:t>
      </w:r>
    </w:p>
    <w:p>
      <w:pPr>
        <w:pStyle w:val="Title"/>
      </w:pPr>
      <w:r>
        <w:rPr>
          <w:rFonts w:ascii="Arial" w:hAnsi="Arial" w:eastAsia="Arial" w:cs="Arial"/>
          <w:i w:val="false"/>
          <w:b w:val="true"/>
          <w:u w:val="none"/>
          <w:strike w:val="false"/>
          <w:sz w:val="44"/>
          <w:szCs w:val="44"/>
          <w:color w:val="000000"/>
        </w:rPr>
        <w:t xml:space="preserve">Trainer key for a defensible brief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Participant pages 1 and 2 double-sided plus one-page corrected findings reference per person. The separate one-page brief template is optional: Sheet 1 already contains it. This key is trainer only.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One possible brief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Finding: In one pilot district, the lottery estimate is 1,014 AED annual saving per business; the 95% interval is 862 to 1,167. It spans the authority's 1,000 AED rule.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Recommendation: Do not give unconditional approval for nationwide expansion on this evidence. Consider a limited next stage with explicit review conditions.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Risk: Results concern different populations. The cost model depends on unverified duration and costs.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Next evidence: Request evidence of delivery in the proposed areas, full programme costs and how long savings last. Use this to revisit the proposed scale and budget.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Judge the source use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Accept another action if proportionate and explicitly conditional. Check the estimate and interval, population, comparison limits, model assumptions, and a specific request tied to its purpose. A number match or agreement with the trainer is not sufficient.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AI repair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Keep the 1,014 AED point estimate and 1.86 model ratio only with their sources and limits. The pilot interval spans 1,000 and describes one district. The ratio assumes duration and costs and a provisional causal benefit. Remove unconditional national approval and the claim that no more evidence is needed.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Feedback and retry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Return feedback from Session 1. Use a targeted reading retry for a missed ability and record any revised score separately. Check the final individual request without AI. Total 60 minutes; twelve minutes for the first draft and eight for peer review are protected.</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2026-10-06T22:15:50Z</dcterms:modified>
  <cp:category/>
</cp:coreProperties>
</file>