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1</w:t>
      </w:r>
    </w:p>
    <w:p>
      <w:pPr>
        <w:pStyle w:val="Title"/>
      </w:pPr>
      <w:r>
        <w:rPr>
          <w:rFonts w:ascii="Arial" w:hAnsi="Arial" w:eastAsia="Arial" w:cs="Arial"/>
          <w:i w:val="false"/>
          <w:b w:val="true"/>
          <w:u w:val="none"/>
          <w:strike w:val="false"/>
          <w:sz w:val="44"/>
          <w:szCs w:val="44"/>
          <w:color w:val="000000"/>
        </w:rPr>
        <w:t xml:space="preserve">GreenWaste evaluation report for review</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Read the stated evidence, then judge what it can support. Cite a section when you question a claim.</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Intentionally flawed fictional review exercise. Figures are invented for training.</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Executive summary</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GreenWaste helps businesses reduce annual waste costs. The authority asks whether the evidence supports expansion beyond the pilot district and the city. Its minimum saving rule is 1,000 AED per business per year.</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Our headline is the city matched comparison: a saving of 1,029 AED per business per year. This exceeds the rule. Four independent methods all show lower costs, confirming that GreenWaste caused the saving. The programme therefore meets the standard for nationwide expansion.</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Costs fell by 669 AED among city participants. This proves the programme benefited every participating business. The benefit-cost model gives 1.86, which confirms that the programme pays for itself. We recommend approval.</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The programme</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GreenWaste provides waste-management equipment and support to businesses. In one pilot district, a lottery selected 200 of 400 businesses to join; 200 waited. In the rest of the city, businesses with an efficiency score of 58 or below took part. Those above 58 did not.</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The outcome is each business's recorded annual waste cost in AED. Each business has one measure before GreenWaste and one 12 months after. A lower annual cost is a saving. The pilot district and city provide different comparisons.</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1</w:t>
      </w:r>
    </w:p>
    <w:p>
      <w:pPr>
        <w:pStyle w:val="Title"/>
      </w:pPr>
      <w:r>
        <w:rPr>
          <w:rFonts w:ascii="Arial" w:hAnsi="Arial" w:eastAsia="Arial" w:cs="Arial"/>
          <w:i w:val="false"/>
          <w:b w:val="true"/>
          <w:u w:val="none"/>
          <w:strike w:val="false"/>
          <w:sz w:val="44"/>
          <w:szCs w:val="44"/>
          <w:color w:val="000000"/>
        </w:rPr>
        <w:t xml:space="preserve">GreenWaste design and data</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3 Evaluation design</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Pilot lottery: compare costs after 12 months for businesses assigned to join and those assigned to wait. Random assignment makes this comparison informative for the pilot district. It does not by itself establish the effect of nationwide expansion.</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City extra change, or difference-in-differences: compare the before/after change for city participants with the change for other city businesses. This is our preferred city analysis. It requires that both groups would have changed similarly without GreenWaste. Because both groups are in the same city, that assumption is guaranteed.</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Jump near score 58, or regression discontinuity: compare nearby businesses on either side of the rule, within two score points. The result concerns businesses near the cut-off. The approach requires that other relevant factors do not jump at the rule.</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Matched comparison: compare city participants with other businesses similar in recorded manager age, staff, area and filtration. Matching cannot remove differences in factors that were not recorded.</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4 Data</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The synthetic training file contains 400 pilot businesses and 10,000 city businesses, with one complete row per business. In the city, 4,794 took part and 5,206 did not. Outcomes are annual waste costs before the programme and 12 months after.</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There are no empty outcome cells in this generated file. This establishes reliable measurement and complete real-world follow-up. No fieldwork records, recruitment log or measurement validation are supplied.</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1</w:t>
      </w:r>
    </w:p>
    <w:p>
      <w:pPr>
        <w:pStyle w:val="Title"/>
      </w:pPr>
      <w:r>
        <w:rPr>
          <w:rFonts w:ascii="Arial" w:hAnsi="Arial" w:eastAsia="Arial" w:cs="Arial"/>
          <w:i w:val="false"/>
          <w:b w:val="true"/>
          <w:u w:val="none"/>
          <w:strike w:val="false"/>
          <w:sz w:val="44"/>
          <w:szCs w:val="44"/>
          <w:color w:val="000000"/>
        </w:rPr>
        <w:t xml:space="preserve">GreenWaste results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5 Results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table reports estimated annual savings as positive amounts. Its 95% confidence intervals show uncertainty under each analysis and its assumptions. They do not include every possible source of bias.</w:t>
      </w:r>
    </w:p>
    <w:tbl xmlns:a="http://schemas.openxmlformats.org/drawingml/2006/main" xmlns:pic="http://schemas.openxmlformats.org/drawingml/2006/picture">
      <w:tblPr>
        <w:tblLayout w:type="fixed"/>
        <w:jc w:val="start"/>
        <w:tblLook w:firstRow="1" w:lastRow="0" w:firstColumn="0" w:lastColumn="0" w:noHBand="0" w:noVBand="1"/>
      </w:tblPr>
      <w:tblGrid>
        <w:gridCol w:w="3168"/>
        <w:gridCol w:w="2448"/>
        <w:gridCol w:w="3456"/>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Method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Estimated saving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95% interval for saving AED</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Pilot lottery</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1,014</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862 to 1,167</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City extra change</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812</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792 to 833</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Jump near score 58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721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498 to 943</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City matched comparison</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1,029</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859 to 1,200</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Source: corrected synthetic GreenWaste file. Annual saving per business in AED, 12 months after the programme.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We choose the matched comparison for the headline because its estimate is the largest. We rely on its point estimate to decide that the minimum saving rule is met.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pilot point estimate is 1,014 AED. The preferred city extra-change estimate is 812 AED. All four point estimates have the same sign, so we regard them as four independent confirmations. The recorded before/after fall among city participants is 669 AED; that descriptive fall is separate from the four estimates.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The two city quantities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Recorded mean fall among participants: 669 AED. Estimated extra change relative to other city businesses: 812 AED. These quantities use different comparisons.</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1</w:t>
      </w:r>
    </w:p>
    <w:p>
      <w:pPr>
        <w:pStyle w:val="Title"/>
      </w:pPr>
      <w:r>
        <w:rPr>
          <w:rFonts w:ascii="Arial" w:hAnsi="Arial" w:eastAsia="Arial" w:cs="Arial"/>
          <w:i w:val="false"/>
          <w:b w:val="true"/>
          <w:u w:val="none"/>
          <w:strike w:val="false"/>
          <w:sz w:val="44"/>
          <w:szCs w:val="44"/>
          <w:color w:val="000000"/>
        </w:rPr>
        <w:t xml:space="preserve">GreenWaste limitations and recommendations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6 Limitations</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There is only one before measure, so earlier city trends cannot be checked here. The pilot comes from one district. The estimate near score 58 concerns nearby businesses, rather than every city business. These limits matter when considering a wider rollout.</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Manager age jumps by about 5.3 years near the score rule in the five-point window. Matching reuses 585 different controls, including one used 440 times; a manager-age gap of 3.0 years remains. No score-manipulation evidence or real fieldwork documentation is supplied.</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The value-for-money model assumes 1,800 AED one-off cost, savings beginning in year 2 and lasting five years, and a 5% discount rate. It uses the city extra-change saving provisionally. Duration, timing and costs are fictional assumptions, not measured programme facts.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7 Recommendations</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Approve nationwide expansion now, with the same eligibility rule. Four confirmations and a headline above the minimum saving rule provide sufficient evidence for this action.</w:t>
      </w:r>
    </w:p>
    <w:p>
      <w:pPr>
        <w:pStyle w:val="Normal"/>
        <w:jc w:val="left"/>
        <w:pBdr>
          <w:bottom w:val="none" w:sz="0" w:space="0" w:color="000000"/>
          <w:top w:val="none" w:sz="0" w:space="0" w:color="000000"/>
          <w:left w:val="none" w:sz="0" w:space="0" w:color="000000"/>
          <w:right w:val="none" w:sz="0" w:space="0" w:color="000000"/>
        </w:pBdr>
        <w:spacing w:after="200" w:before="0" w:line="240"/>
        <w:ind w:left="0" w:right="0" w:firstLine="0" w:firstLineChars="0"/>
      </w:pPr>
      <w:r>
        <w:rPr>
          <w:rFonts w:ascii="Arial" w:hAnsi="Arial" w:eastAsia="Arial" w:cs="Arial"/>
          <w:i w:val="false"/>
          <w:b w:val="false"/>
          <w:u w:val="none"/>
          <w:strike w:val="false"/>
          <w:sz w:val="24"/>
          <w:szCs w:val="24"/>
          <w:color w:val="000000"/>
        </w:rPr>
        <w:t xml:space="preserve">Approve the programme budget because the benefit-cost ratio exceeds 1. No additional evidence about costs, saving duration or nationwide delivery is needed.</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2026-10-06T22:15:46Z</dcterms:modified>
  <cp:category/>
</cp:coreProperties>
</file>