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1</w:t>
      </w:r>
    </w:p>
    <w:p>
      <w:pPr>
        <w:pStyle w:val="Title"/>
      </w:pPr>
      <w:r>
        <w:rPr>
          <w:rFonts w:ascii="Arial" w:hAnsi="Arial" w:eastAsia="Arial" w:cs="Arial"/>
          <w:i w:val="false"/>
          <w:b w:val="true"/>
          <w:u w:val="none"/>
          <w:strike w:val="false"/>
          <w:sz w:val="44"/>
          <w:szCs w:val="44"/>
          <w:color w:val="000000"/>
        </w:rPr>
        <w:t xml:space="preserve">Read the extra change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Compare changes in two groups, then decide what evidence you need before accepting the result as an effect.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Fictional GreenWaste case | invented figures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Complete the four numbers</w:t>
      </w:r>
    </w:p>
    <w:tbl xmlns:a="http://schemas.openxmlformats.org/drawingml/2006/main" xmlns:pic="http://schemas.openxmlformats.org/drawingml/2006/picture">
      <w:tblPr>
        <w:tblLayout w:type="fixed"/>
        <w:jc w:val="start"/>
        <w:tblLook w:firstRow="1" w:lastRow="0" w:firstColumn="0" w:lastColumn="0" w:noHBand="0" w:noVBand="1"/>
      </w:tblPr>
      <w:tblGrid>
        <w:gridCol w:w="3024"/>
        <w:gridCol w:w="2016"/>
        <w:gridCol w:w="2016"/>
        <w:gridCol w:w="2016"/>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Group</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Before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After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Change AED</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Took part</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1,432</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763</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360" w:hRule="auto"/>
        </w:trPr>
        body2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Did not take part</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2,258</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2,401</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Change = after minus before. Extra change = participants' change minus comparison change. The means are rounded.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Extra change __________________ AED</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Read the result row</w:t>
      </w:r>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2160"/>
        <w:gridCol w:w="3168"/>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Result row</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Estimate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95% interval AED</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Extra change in participants</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-812</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-833 to -792</w:t>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Decision rule: at least 1,000 AED annual saving per business after 12 months. Negative means lower costs. This fictional rule is not a full value-for-money test.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do the estimate and interval say about the rule?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3 Question the assumption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Without GreenWaste, the groups would have changed in similar ways. Reports call this parallel trends. Name one reason this might fail.</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1</w:t>
      </w:r>
    </w:p>
    <w:p>
      <w:pPr>
        <w:pStyle w:val="Title"/>
      </w:pPr>
      <w:r>
        <w:rPr>
          <w:rFonts w:ascii="Arial" w:hAnsi="Arial" w:eastAsia="Arial" w:cs="Arial"/>
          <w:i w:val="false"/>
          <w:b w:val="true"/>
          <w:u w:val="none"/>
          <w:strike w:val="false"/>
          <w:sz w:val="44"/>
          <w:szCs w:val="44"/>
          <w:color w:val="000000"/>
        </w:rPr>
        <w:t xml:space="preserve">Check the report conclusion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Report extract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city study compares annual waste costs before and 12 months after GreenWaste in participants and non-participants. The extra change is -812 AED per business, with a 95% confidence interval of -833 to -792 AED. A causal interpretation assumes that, without GreenWaste, costs would have changed similarly in the two groups. The file contains only one before measure, so it cannot show whether earlier trends were similar.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Circle the result and units. Underline the assumption. Write your question and explain how its answer could affect your decision.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Repair an illustrative AI draft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"The extra fall proves GreenWaste caused the saving. Parallel trends is satisfied. Scale-up meets the decision rule."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Cross out unsupported claims and rewrite using the extract.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Your question from memory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Close Sheet 1. Write one question for the evaluator and its purpose. Work alone.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1</w:t>
      </w:r>
    </w:p>
    <w:p>
      <w:pPr>
        <w:pStyle w:val="Title"/>
      </w:pPr>
      <w:r>
        <w:rPr>
          <w:rFonts w:ascii="Arial" w:hAnsi="Arial" w:eastAsia="Arial" w:cs="Arial"/>
          <w:i w:val="false"/>
          <w:b w:val="true"/>
          <w:u w:val="none"/>
          <w:strike w:val="false"/>
          <w:sz w:val="44"/>
          <w:szCs w:val="44"/>
          <w:color w:val="000000"/>
        </w:rPr>
        <w:t xml:space="preserve">Trainer key for extra change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Print pages 1 and 2 double-sided, one per participant. This page is trainer only.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Calculation and interpretation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Changes using unrounded means: participants -669 AED; comparison 143 AED; difference -812 AED. Allow a one-AED discrepancy from rounded printed means. The estimate and interval imply less saving than the 1,000 AED rule. Parallel trends is an assumption, not a finding established by this file.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Source and feedback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Printed regression: cost ~ after*took_part on two rows per city business, business-clustered robust standard errors (estimatr, se_type stata). The trainer arithmetic gives the same coefficient. Earlier hypothetical pictures are labelled hypothetical, not extra GreenWaste observations. Different levels can coexist with parallel trends; one before measure cannot check earlier trends.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Reading and AI</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Keep the estimated extra fall. Remove proof of cause, a satisfied assumption and the claim that the saving rule is met. Useful next requests include earlier periods, other policies or price changes, and stable group composition. Ask how the evidence could change a decision.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Delivery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One trainer demo after prediction; no participant coding. Use the printed result if webR fails. Protect individual reading and pair discussion. No restored AI wall board. Total 60 minutes.</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2026-10-06T21:06:44Z</dcterms:modified>
  <cp:category/>
</cp:coreProperties>
</file>