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0"/>
          <w:szCs w:val="20"/>
          <w:color w:val="545860"/>
        </w:rPr>
        <w:t xml:space="preserve">GreenWaste reading workshop | Day 2 | Session 3</w:t>
      </w:r>
    </w:p>
    <w:p>
      <w:pPr>
        <w:pStyle w:val="Title"/>
      </w:pPr>
      <w:r>
        <w:rPr>
          <w:rFonts w:ascii="Arial" w:hAnsi="Arial" w:eastAsia="Arial" w:cs="Arial"/>
          <w:i w:val="false"/>
          <w:b w:val="true"/>
          <w:u w:val="none"/>
          <w:strike w:val="false"/>
          <w:sz w:val="44"/>
          <w:szCs w:val="44"/>
          <w:color w:val="000000"/>
        </w:rPr>
        <w:t xml:space="preserve">Read a matched comparison</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Choose comparison businesses before opening costs. Then inspect the full report and decide what could still bias the comparison.</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18"/>
          <w:szCs w:val="18"/>
          <w:color w:val="545860"/>
        </w:rPr>
        <w:t xml:space="preserve">Fictional GreenWaste case | invented figures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1 Record your pairs before opening costs</w:t>
      </w:r>
    </w:p>
    <w:tbl xmlns:a="http://schemas.openxmlformats.org/drawingml/2006/main" xmlns:pic="http://schemas.openxmlformats.org/drawingml/2006/picture">
      <w:tblPr>
        <w:tblLayout w:type="fixed"/>
        <w:jc w:val="start"/>
        <w:tblLook w:firstRow="1" w:lastRow="0" w:firstColumn="0" w:lastColumn="0" w:noHBand="0" w:noVBand="1"/>
      </w:tblPr>
      <w:tblGrid>
        <w:gridCol w:w="2160"/>
        <w:gridCol w:w="2592"/>
        <w:gridCol w:w="4320"/>
      </w:tblGrid>
      <w:tr>
        <w:trPr>
          <w:trHeight w:val="360" w:hRule="auto"/>
          <w:tblHeader/>
        </w:trPr>
        header1
        <w:tc>
          <w:tcPr>
            <w:tcBorders>
              <w:bottom w:val="single" w:sz="6" w:space="0" w:color="D9D9D9"/>
              <w:top w:val="single" w:sz="6" w:space="0" w:color="D9D9D9"/>
              <w:left w:val="single" w:sz="6" w:space="0" w:color="D9D9D9"/>
              <w:right w:val="single" w:sz="6" w:space="0" w:color="D9D9D9"/>
            </w:tcBorders>
            <w:shd w:val="clear" w:color="auto" w:fill="063360"/>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true"/>
                <w:u w:val="none"/>
                <w:strike w:val="false"/>
                <w:sz w:val="24"/>
                <w:szCs w:val="24"/>
                <w:color w:val="FFFFFF"/>
              </w:rPr>
            </w:pPr>
            <w:r>
              <w:rPr>
                <w:rFonts w:ascii="Arial" w:hAnsi="Arial" w:eastAsia="Arial" w:cs="Arial"/>
                <w:i w:val="false"/>
                <w:b w:val="true"/>
                <w:u w:val="none"/>
                <w:strike w:val="false"/>
                <w:sz w:val="24"/>
                <w:szCs w:val="24"/>
                <w:color w:val="FFFFFF"/>
              </w:rPr>
              <w:t xml:space="preserve">Took part</w:t>
            </w:r>
          </w:p>
        </w:tc>
        <w:tc>
          <w:tcPr>
            <w:tcBorders>
              <w:bottom w:val="single" w:sz="6" w:space="0" w:color="D9D9D9"/>
              <w:top w:val="single" w:sz="6" w:space="0" w:color="D9D9D9"/>
              <w:left w:val="single" w:sz="6" w:space="0" w:color="D9D9D9"/>
              <w:right w:val="single" w:sz="6" w:space="0" w:color="D9D9D9"/>
            </w:tcBorders>
            <w:shd w:val="clear" w:color="auto" w:fill="063360"/>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true"/>
                <w:u w:val="none"/>
                <w:strike w:val="false"/>
                <w:sz w:val="24"/>
                <w:szCs w:val="24"/>
                <w:color w:val="FFFFFF"/>
              </w:rPr>
            </w:pPr>
            <w:r>
              <w:rPr>
                <w:rFonts w:ascii="Arial" w:hAnsi="Arial" w:eastAsia="Arial" w:cs="Arial"/>
                <w:i w:val="false"/>
                <w:b w:val="true"/>
                <w:u w:val="none"/>
                <w:strike w:val="false"/>
                <w:sz w:val="24"/>
                <w:szCs w:val="24"/>
                <w:color w:val="FFFFFF"/>
              </w:rPr>
              <w:t xml:space="preserve">Chosen twin</w:t>
            </w:r>
          </w:p>
        </w:tc>
        <w:tc>
          <w:tcPr>
            <w:tcBorders>
              <w:bottom w:val="single" w:sz="6" w:space="0" w:color="D9D9D9"/>
              <w:top w:val="single" w:sz="6" w:space="0" w:color="D9D9D9"/>
              <w:left w:val="single" w:sz="6" w:space="0" w:color="D9D9D9"/>
              <w:right w:val="single" w:sz="6" w:space="0" w:color="D9D9D9"/>
            </w:tcBorders>
            <w:shd w:val="clear" w:color="auto" w:fill="063360"/>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true"/>
                <w:u w:val="none"/>
                <w:strike w:val="false"/>
                <w:sz w:val="24"/>
                <w:szCs w:val="24"/>
                <w:color w:val="FFFFFF"/>
              </w:rPr>
            </w:pPr>
            <w:r>
              <w:rPr>
                <w:rFonts w:ascii="Arial" w:hAnsi="Arial" w:eastAsia="Arial" w:cs="Arial"/>
                <w:i w:val="false"/>
                <w:b w:val="true"/>
                <w:u w:val="none"/>
                <w:strike w:val="false"/>
                <w:sz w:val="24"/>
                <w:szCs w:val="24"/>
                <w:color w:val="FFFFFF"/>
              </w:rPr>
              <w:t xml:space="preserve">Difference AED</w:t>
            </w:r>
          </w:p>
        </w:tc>
      </w:tr>
      <w:tr>
        <w:trPr>
          <w:trHeight w:val="360" w:hRule="auto"/>
        </w:trPr>
        body1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A</w:t>
            </w:r>
          </w:p>
        </w:tc>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
            </w:r>
          </w:p>
        </w:tc>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
            </w:r>
          </w:p>
        </w:tc>
      </w:tr>
      <w:tr>
        <w:trPr>
          <w:trHeight w:val="360" w:hRule="auto"/>
        </w:trPr>
        body2
        <w:tc>
          <w:tcPr>
            <w:tcBorders>
              <w:bottom w:val="single" w:sz="6" w:space="0" w:color="D9D9D9"/>
              <w:top w:val="single" w:sz="6" w:space="0" w:color="D9D9D9"/>
              <w:left w:val="single" w:sz="6" w:space="0" w:color="D9D9D9"/>
              <w:right w:val="single" w:sz="6" w:space="0" w:color="D9D9D9"/>
            </w:tcBorders>
            <w:shd w:val="clear" w:color="auto" w:fill="F1F5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B</w:t>
            </w:r>
          </w:p>
        </w:tc>
        <w:tc>
          <w:tcPr>
            <w:tcBorders>
              <w:bottom w:val="single" w:sz="6" w:space="0" w:color="D9D9D9"/>
              <w:top w:val="single" w:sz="6" w:space="0" w:color="D9D9D9"/>
              <w:left w:val="single" w:sz="6" w:space="0" w:color="D9D9D9"/>
              <w:right w:val="single" w:sz="6" w:space="0" w:color="D9D9D9"/>
            </w:tcBorders>
            <w:shd w:val="clear" w:color="auto" w:fill="F1F5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
            </w:r>
          </w:p>
        </w:tc>
        <w:tc>
          <w:tcPr>
            <w:tcBorders>
              <w:bottom w:val="single" w:sz="6" w:space="0" w:color="D9D9D9"/>
              <w:top w:val="single" w:sz="6" w:space="0" w:color="D9D9D9"/>
              <w:left w:val="single" w:sz="6" w:space="0" w:color="D9D9D9"/>
              <w:right w:val="single" w:sz="6" w:space="0" w:color="D9D9D9"/>
            </w:tcBorders>
            <w:shd w:val="clear" w:color="auto" w:fill="F1F5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
            </w:r>
          </w:p>
        </w:tc>
      </w:tr>
      <w:tr>
        <w:trPr>
          <w:trHeight w:val="360" w:hRule="auto"/>
        </w:trPr>
        body3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C</w:t>
            </w:r>
          </w:p>
        </w:tc>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
            </w:r>
          </w:p>
        </w:tc>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Pair on manager age and size. Costs arrive afterwards. Difference = participant cost minus twin cost.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Mean difference __________________ AED   Unused comparison business __________</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These seven profiles are invented for the activity; they are not the full-city records.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2 Read the full study result</w:t>
      </w:r>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2160"/>
        <w:gridCol w:w="3168"/>
      </w:tblGrid>
      <w:tr>
        <w:trPr>
          <w:trHeight w:val="360" w:hRule="auto"/>
          <w:tblHeader/>
        </w:trPr>
        header1
        <w:tc>
          <w:tcPr>
            <w:tcBorders>
              <w:bottom w:val="single" w:sz="6" w:space="0" w:color="D9D9D9"/>
              <w:top w:val="single" w:sz="6" w:space="0" w:color="D9D9D9"/>
              <w:left w:val="single" w:sz="6" w:space="0" w:color="D9D9D9"/>
              <w:right w:val="single" w:sz="6" w:space="0" w:color="D9D9D9"/>
            </w:tcBorders>
            <w:shd w:val="clear" w:color="auto" w:fill="063360"/>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true"/>
                <w:u w:val="none"/>
                <w:strike w:val="false"/>
                <w:sz w:val="24"/>
                <w:szCs w:val="24"/>
                <w:color w:val="FFFFFF"/>
              </w:rPr>
            </w:pPr>
            <w:r>
              <w:rPr>
                <w:rFonts w:ascii="Arial" w:hAnsi="Arial" w:eastAsia="Arial" w:cs="Arial"/>
                <w:i w:val="false"/>
                <w:b w:val="true"/>
                <w:u w:val="none"/>
                <w:strike w:val="false"/>
                <w:sz w:val="24"/>
                <w:szCs w:val="24"/>
                <w:color w:val="FFFFFF"/>
              </w:rPr>
              <w:t xml:space="preserve">Result row</w:t>
            </w:r>
          </w:p>
        </w:tc>
        <w:tc>
          <w:tcPr>
            <w:tcBorders>
              <w:bottom w:val="single" w:sz="6" w:space="0" w:color="D9D9D9"/>
              <w:top w:val="single" w:sz="6" w:space="0" w:color="D9D9D9"/>
              <w:left w:val="single" w:sz="6" w:space="0" w:color="D9D9D9"/>
              <w:right w:val="single" w:sz="6" w:space="0" w:color="D9D9D9"/>
            </w:tcBorders>
            <w:shd w:val="clear" w:color="auto" w:fill="063360"/>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true"/>
                <w:u w:val="none"/>
                <w:strike w:val="false"/>
                <w:sz w:val="24"/>
                <w:szCs w:val="24"/>
                <w:color w:val="FFFFFF"/>
              </w:rPr>
            </w:pPr>
            <w:r>
              <w:rPr>
                <w:rFonts w:ascii="Arial" w:hAnsi="Arial" w:eastAsia="Arial" w:cs="Arial"/>
                <w:i w:val="false"/>
                <w:b w:val="true"/>
                <w:u w:val="none"/>
                <w:strike w:val="false"/>
                <w:sz w:val="24"/>
                <w:szCs w:val="24"/>
                <w:color w:val="FFFFFF"/>
              </w:rPr>
              <w:t xml:space="preserve">Estimate AED</w:t>
            </w:r>
          </w:p>
        </w:tc>
        <w:tc>
          <w:tcPr>
            <w:tcBorders>
              <w:bottom w:val="single" w:sz="6" w:space="0" w:color="D9D9D9"/>
              <w:top w:val="single" w:sz="6" w:space="0" w:color="D9D9D9"/>
              <w:left w:val="single" w:sz="6" w:space="0" w:color="D9D9D9"/>
              <w:right w:val="single" w:sz="6" w:space="0" w:color="D9D9D9"/>
            </w:tcBorders>
            <w:shd w:val="clear" w:color="auto" w:fill="063360"/>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true"/>
                <w:u w:val="none"/>
                <w:strike w:val="false"/>
                <w:sz w:val="24"/>
                <w:szCs w:val="24"/>
                <w:color w:val="FFFFFF"/>
              </w:rPr>
            </w:pPr>
            <w:r>
              <w:rPr>
                <w:rFonts w:ascii="Arial" w:hAnsi="Arial" w:eastAsia="Arial" w:cs="Arial"/>
                <w:i w:val="false"/>
                <w:b w:val="true"/>
                <w:u w:val="none"/>
                <w:strike w:val="false"/>
                <w:sz w:val="24"/>
                <w:szCs w:val="24"/>
                <w:color w:val="FFFFFF"/>
              </w:rPr>
              <w:t xml:space="preserve">95% interval AED</w:t>
            </w:r>
          </w:p>
        </w:tc>
      </w:tr>
      <w:tr>
        <w:trPr>
          <w:trHeight w:val="360" w:hRule="auto"/>
        </w:trPr>
        body1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Matched cost difference</w:t>
            </w:r>
          </w:p>
        </w:tc>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-1,029</w:t>
            </w:r>
          </w:p>
        </w:tc>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-1,200 to -859</w:t>
            </w:r>
          </w:p>
        </w:tc>
      </w:tr>
    </w:tbl>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2"/>
          <w:szCs w:val="22"/>
          <w:color w:val="000000"/>
        </w:rPr>
        <w:t xml:space="preserve">Decision rule: at least 1,000 AED annual saving per business after 12 months. Negative means lower costs. This fictional rule is not a full value-for-money test.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Matched on pre-programme manager age, staff, premises area and filtration. 4,794 participants matched to 585 different comparison businesses; some were reused.</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What does the interval say about the rule? What would make the pairs convincing?</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0"/>
          <w:szCs w:val="20"/>
          <w:color w:val="545860"/>
        </w:rPr>
        <w:t xml:space="preserve">GreenWaste reading workshop | Day 2 | Session 3</w:t>
      </w:r>
    </w:p>
    <w:p>
      <w:pPr>
        <w:pStyle w:val="Title"/>
      </w:pPr>
      <w:r>
        <w:rPr>
          <w:rFonts w:ascii="Arial" w:hAnsi="Arial" w:eastAsia="Arial" w:cs="Arial"/>
          <w:i w:val="false"/>
          <w:b w:val="true"/>
          <w:u w:val="none"/>
          <w:strike w:val="false"/>
          <w:sz w:val="44"/>
          <w:szCs w:val="44"/>
          <w:color w:val="000000"/>
        </w:rPr>
        <w:t xml:space="preserve">Question the matched result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Report extract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The study chooses one nearest comparison for every participant, using the four recorded characteristics. Comparison businesses can be used more than once. No maximum acceptable distance is set, and no participant is excluded. Matched manager ages remain 3.0 years apart on average. Leaving age out changes the estimate to -1,341 AED. Similar recorded features cannot rule out an unmeasured influence on joining and costs.</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Circle the result and interval on Sheet 1. Underline what made the pairs similar. Name a missing check and explain why it matters.</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Your provisional judgement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Act / Act with conditions / Request evidence. Write your reason and what could change your decision.</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Repair an illustrative AI assurance</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8"/>
          <w:szCs w:val="28"/>
          <w:color w:val="000000"/>
        </w:rPr>
        <w:t xml:space="preserve">"Every participant has a match, so selection bias is removed. The saving guarantees the minimum saving rule is met."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Keep supported facts. Cross out unsupported claims and rewrite.</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A question from memory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Close Sheet 1. Write a question for the evaluator and its purpose. Work alone.</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sectPr>
      <w:pgMar w:header="708" w:bottom="936" w:top="936" w:right="1008" w:left="1008"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w:type="paragraph" w:styleId="Title">
    <w:name w:val="Title"/>
    <w:basedOn w:val="Normal"/>
    <w:next w:val="Normal"/>
    <w:qFormat/>
    <w:rPr>
      <w:color w:val="000000"/>
      <w:sz w:val="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2026-10-06T21:06:53Z</dcterms:modified>
  <cp:category/>
</cp:coreProperties>
</file>