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1</w:t>
      </w:r>
    </w:p>
    <w:p>
      <w:pPr>
        <w:pStyle w:val="Title"/>
      </w:pPr>
      <w:r>
        <w:rPr>
          <w:rFonts w:ascii="Arial" w:hAnsi="Arial" w:eastAsia="Arial" w:cs="Arial"/>
          <w:i w:val="false"/>
          <w:b w:val="true"/>
          <w:u w:val="none"/>
          <w:strike w:val="false"/>
          <w:sz w:val="44"/>
          <w:szCs w:val="44"/>
          <w:color w:val="000000"/>
        </w:rPr>
        <w:t xml:space="preserve">Read a regression table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the five terms in the slides, then use this table to state what the report supports.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Mean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Ten selected businesses sent 3, 4, 5, 5, 6, 7, 7, 8, 9 and 46 tonnes to landfill in one year.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Find the mean. Explain why it does not describe every business.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Annual waste cost regression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The same city participants before and 12 months later. Outcome: annual waste cost in AED per business. The starting mean and the change are different rows.</w:t>
      </w:r>
    </w:p>
    <w:tbl xmlns:a="http://schemas.openxmlformats.org/drawingml/2006/main" xmlns:pic="http://schemas.openxmlformats.org/drawingml/2006/picture">
      <w:tblPr>
        <w:tblLayout w:type="fixed"/>
        <w:jc w:val="start"/>
        <w:tblLook w:firstRow="1" w:lastRow="0" w:firstColumn="0" w:lastColumn="0" w:noHBand="0" w:noVBand="1"/>
      </w:tblPr>
      <w:tblGrid>
        <w:gridCol w:w="2592"/>
        <w:gridCol w:w="1872"/>
        <w:gridCol w:w="3096"/>
        <w:gridCol w:w="2232"/>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Coefficient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p-value</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Before GreenWaste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1,418 to 1,446</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&lt; 0.001</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After minus before</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-669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-684 to -654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&lt; 0.001</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Coefficient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change row. Write its number, units and meaning of the sign.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1</w:t>
      </w:r>
    </w:p>
    <w:p>
      <w:pPr>
        <w:pStyle w:val="Title"/>
      </w:pPr>
      <w:r>
        <w:rPr>
          <w:rFonts w:ascii="Arial" w:hAnsi="Arial" w:eastAsia="Arial" w:cs="Arial"/>
          <w:i w:val="false"/>
          <w:b w:val="true"/>
          <w:u w:val="none"/>
          <w:strike w:val="false"/>
          <w:sz w:val="44"/>
          <w:szCs w:val="44"/>
          <w:color w:val="000000"/>
        </w:rPr>
        <w:t xml:space="preserve">Explain what the table supports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Treatment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Does the after/before change establish what GreenWaste caused? Explain the missing comparison.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Confidence interval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Box the interval for the change. What does it describe? Does it show the range for individual businesses?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5 P value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Find the change row p-value. Does it give the probability that GreenWaste works or establish cause?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6 Read and repair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The course rule is at least 1,000 AED annual saving per business. Repair this claim: The tiny p-value proves GreenWaste caused enough saving to expand.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independent reading and next question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State the change, its interval and comparison. Ask for evidence needed before calling it a programme effect.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1</w:t>
      </w:r>
    </w:p>
    <w:p>
      <w:pPr>
        <w:pStyle w:val="Title"/>
      </w:pPr>
      <w:r>
        <w:rPr>
          <w:rFonts w:ascii="Arial" w:hAnsi="Arial" w:eastAsia="Arial" w:cs="Arial"/>
          <w:i w:val="false"/>
          <w:b w:val="true"/>
          <w:u w:val="none"/>
          <w:strike w:val="false"/>
          <w:sz w:val="44"/>
          <w:szCs w:val="44"/>
          <w:color w:val="000000"/>
        </w:rPr>
        <w:t xml:space="preserve">Trainer key for the five terms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participant pages 1 and 2 double-sided. These key pages are trainer only.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Mean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100 tonnes divided by 10 businesses = 10 tonnes. Nine of these selected records are below the mean; one is 46. It is not the value for every business and this teaching selection is not representative of the city.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Coefficient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Before GreenWaste is the starting mean, 1,432 AED. After minus before is the change, -669 AED. Negative means lower annual costs, not automatically a harmful outcome. A coefficient is a named model result, not automatically a treatment effect.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Treatment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change caused by the programme, relative to what would have happened without it. A before/after change can include other changes over time. Ask for a credible no-programme comparison.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Confidence interval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For the change: -684 to -654 AED. It describes uncertainty around the model estimate under its assumptions, not the spread of individual savings. It does not cover all bias or establish cause. Do not give a 95% probability interpretation for this fixed interval.</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P value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Less than 0.001 for the change. Evidence against the tested no-change model under its assumptions, not the probability that the programme works or that the result is due to chance. It establishes neither cause nor a large enough saving; a non-significant result also does not prove no effect.</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1 | Session 1</w:t>
      </w:r>
    </w:p>
    <w:p>
      <w:pPr>
        <w:pStyle w:val="Title"/>
      </w:pPr>
      <w:r>
        <w:rPr>
          <w:rFonts w:ascii="Arial" w:hAnsi="Arial" w:eastAsia="Arial" w:cs="Arial"/>
          <w:i w:val="false"/>
          <w:b w:val="true"/>
          <w:u w:val="none"/>
          <w:strike w:val="false"/>
          <w:sz w:val="44"/>
          <w:szCs w:val="44"/>
          <w:color w:val="000000"/>
        </w:rPr>
        <w:t xml:space="preserve">Trainer feedback and delivery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Decision rule and source repair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observed saving and its interval are below the invented 1,000 AED rule. Keep the reported fall; remove causal assurance and the assertion that the minimum saving is met. This is not evidence that the programme has no effect.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Independent reading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Require named row, signed coefficient, units, interval and comparison. Accept accurate plain language for all five terms. Collect one independent answer and question. Give brief feedback for any missed term in Session 2.</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Delivery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60 minutes. One four-minute trainer arithmetic demonstration reproduces -669 AED. Participants predict its sign; no participant coding. Protect ten minutes for individual reading, paired source check and feedback. Printed results are the fallback.</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actual regression stacks each participant business twice and clusters by business using estimatr::lm_robust with se_type = stata. The intercept is the starting mean and the after coefficient is mean change. Means are rounded for display; do not subtract displayed values to audit the unrounded coefficient. Standard error and sample size can be pointed out if a report uses them, but they are not a replacement for the five core terms.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2026-10-06T22:45:41Z</dcterms:modified>
  <cp:category/>
</cp:coreProperties>
</file>