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1 | Session 3</w:t>
      </w:r>
    </w:p>
    <w:p>
      <w:pPr>
        <w:pStyle w:val="Title"/>
      </w:pPr>
      <w:r>
        <w:rPr>
          <w:rFonts w:ascii="Arial" w:hAnsi="Arial" w:eastAsia="Arial" w:cs="Arial"/>
          <w:i w:val="false"/>
          <w:b w:val="true"/>
          <w:u w:val="none"/>
          <w:strike w:val="false"/>
          <w:sz w:val="44"/>
          <w:szCs w:val="44"/>
          <w:color w:val="000000"/>
        </w:rPr>
        <w:t xml:space="preserve">Judge a fair comparison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Use the pilot trial result to write a provisional recommendation. Explain what it supports and what it leaves uncertain.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GreenWaste is a fictional training case.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The pilot trial</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In one district, a lottery assigned 400 businesses to join or wait. About half joined. The trial compared their annual waste costs 12 months later.</w:t>
      </w:r>
    </w:p>
    <w:tbl xmlns:a="http://schemas.openxmlformats.org/drawingml/2006/main" xmlns:pic="http://schemas.openxmlformats.org/drawingml/2006/picture">
      <w:tblPr>
        <w:tblLayout w:type="fixed"/>
        <w:jc w:val="start"/>
        <w:tblLook w:firstRow="1" w:lastRow="0" w:firstColumn="0" w:lastColumn="0" w:noHBand="0" w:noVBand="1"/>
      </w:tblPr>
      <w:tblGrid>
        <w:gridCol w:w="2736"/>
        <w:gridCol w:w="1800"/>
        <w:gridCol w:w="3240"/>
        <w:gridCol w:w="2016"/>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Result row</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Coefficient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95% interval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p-value</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Took part (lottery)</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-1,014</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-1,167 to -862</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&lt; 0.001</w:t>
            </w:r>
          </w:p>
        </w:tc>
      </w:tr>
    </w:tbl>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Decision rule: annual saving of at least 1,000 AED per business. Negative means lower costs.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1 Name the comparison</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2 Read the estimate and interval</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State the saving and explain whether it settles the decision rule.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3 How far does this result reach</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What would you need to know before using this pilot result for the whole city?</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1 | Session 3</w:t>
      </w:r>
    </w:p>
    <w:p>
      <w:pPr>
        <w:pStyle w:val="Title"/>
      </w:pPr>
      <w:r>
        <w:rPr>
          <w:rFonts w:ascii="Arial" w:hAnsi="Arial" w:eastAsia="Arial" w:cs="Arial"/>
          <w:i w:val="false"/>
          <w:b w:val="true"/>
          <w:u w:val="none"/>
          <w:strike w:val="false"/>
          <w:sz w:val="44"/>
          <w:szCs w:val="44"/>
          <w:color w:val="000000"/>
        </w:rPr>
        <w:t xml:space="preserve">Write a decision note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Write three or four sentences with a partner. Give the result and its comparison, a provisional recommendation, and the evidence you still need.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Check an illustrative AI draft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"The pilot trial estimated an annual saving of 1,014 AED per business. The trial proves the minimum saving is met. Nationwide rollout is good value for money."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Mark each unsupported conclusion. Rewrite it using the result sheet.</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Your question from memory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Close Sheet 1. What would you ask the evaluator, and how could the answer change your recommendation? Work alone.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1 | Session 3</w:t>
      </w:r>
    </w:p>
    <w:p>
      <w:pPr>
        <w:pStyle w:val="Title"/>
      </w:pPr>
      <w:r>
        <w:rPr>
          <w:rFonts w:ascii="Arial" w:hAnsi="Arial" w:eastAsia="Arial" w:cs="Arial"/>
          <w:i w:val="false"/>
          <w:b w:val="true"/>
          <w:u w:val="none"/>
          <w:strike w:val="false"/>
          <w:sz w:val="44"/>
          <w:szCs w:val="44"/>
          <w:color w:val="000000"/>
        </w:rPr>
        <w:t xml:space="preserve">Trainer key for a fair comparison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Print pages 1 and 2 double-sided, one per participant. This page is trainer only.</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Trial interpretation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Estimated saving 1,014 AED, 95% interval 862 to 1,167. Randomly assigned pilot groups, compared after 12 months. The interval spans the 1,000 AED rule. Evidence of saving is different from certainty about reaching that rule. The district may differ from other places; programme costs are not supplied.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canonical pilot result uses lm(cost_after ~ took_part) and its ordinary least-squares interval in greenwaste_case.R. Assignment equals participation in this fictional pilot. In a real trial ask about follow-up, take-up, contamination and whether assignment stayed random.</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Lottery demonstration and paper fallback</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Only one short trainer demo, two draws. It redraws ten places among the first twenty pilot businesses and compares pre-programme manager ages. It demonstrates chance balance, not a new effect estimate. The groups need not be perfectly alike in any one draw.</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Ages for twenty numbered slips: 36, 39, 30, 24, 35, 39, 33, 37, 32, 45, 26, 42, 30, 38, 30, 38, 39, 35, 39, 41</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Note and AI feedback</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Accept differing provisional decisions with evidence and clear limits. The AI draft's first sentence is supported; the threshold and nationwide value-for-money conclusions are unsupported. Require source evidence for every claim. Finish individually with a useful evaluator question and its purpose.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Delivery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Protect the five-minute break and ten-minute paired writing task. Keep the full lab and extra sample-size simulations out of the teaching route. Total 75 minutes.</w:t>
      </w:r>
    </w:p>
    <w:sectPr>
      <w:pgMar w:header="708" w:bottom="936" w:top="936" w:right="1008" w:left="1008"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Title">
    <w:name w:val="Title"/>
    <w:basedOn w:val="Normal"/>
    <w:next w:val="Normal"/>
    <w:qFormat/>
    <w:rPr>
      <w:color w:val="00000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2026-10-06T22:45:42Z</dcterms:modified>
  <cp:category/>
</cp:coreProperties>
</file>