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Judge a value for money claim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model inputs, predict what could change the ratio and ask for the evidence you would need before approving spending.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Open the inputs behind the headline</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160"/>
        <w:gridCol w:w="37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Input</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Value</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Status</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Annual saving</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 AED</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Provisional DiD estimate</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One-off cost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1,800 AED</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Fictional cost assumption</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When savings start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Year 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How long savings last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 years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Discount rate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Assumed</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Modelled benefits at today's value: 3,350 AED per business. Included one-off cost: 1,800 AED. Benefits divided by costs: 1.86.</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 ratio above 1 means modelled benefits exceed included costs. The benefit estimate still needs a credible causal interpretation; duration and costs are assumptions.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What would you ask about the inputs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What costs might be missing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 reviewer asks about staff time, administration and businesses' time. Request amounts and timing, and check what is already included.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Test the claim before approving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group scenario</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Card number ______   The assumption changed 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Our prediction ______   The result ______   Above or below 1 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Is the scenario plausible? What evidence would establish that?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ratio exceeds 1, so GreenWaste is proven to be good value. The savings will last five years. Approval is justified."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Keep supported claims. Cross out assurances and rewrite with a condition or evidence request.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one question and explain how its answer could affect your decision.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1</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1</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Old habits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shrinks by 30% each year after its first year.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2</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Hidden costs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Add 600 AED per business for administration and business time.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3</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3</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 higher discount rate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Use an 8% discount rate instead of 5%.</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4</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4</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 shorter life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lasts three years instead of five.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Scenario card 5</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Read the changed assumption. Agree a prediction and a reason before opening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true"/>
          <w:u w:val="none"/>
          <w:strike w:val="false"/>
          <w:sz w:val="128"/>
          <w:szCs w:val="128"/>
          <w:color w:val="063360"/>
        </w:rPr>
        <w:t xml:space="preserve">5</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Old habits and hidden costs</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Saving shrinks 30% each year and costs rise by 600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Predict the ratio before the trainer reveals the result.</w:t>
      </w:r>
    </w:p>
    <w:p>
      <w:pPr>
        <w:pStyle w:val="Normal"/>
        <w:jc w:val="left"/>
        <w:pBdr>
          <w:bottom w:val="none" w:sz="0" w:space="0" w:color="000000"/>
          <w:top w:val="none" w:sz="0" w:space="0" w:color="000000"/>
          <w:left w:val="none" w:sz="0" w:space="0" w:color="000000"/>
          <w:right w:val="none" w:sz="0" w:space="0" w:color="000000"/>
        </w:pBdr>
        <w:spacing w:after="400" w:before="0" w:line="240"/>
        <w:ind w:left="0" w:right="0" w:firstLine="0" w:firstLineChars="0"/>
      </w:pPr>
      <w:r>
        <w:rPr>
          <w:rFonts w:ascii="Arial" w:hAnsi="Arial" w:eastAsia="Arial" w:cs="Arial"/>
          <w:i w:val="false"/>
          <w:b w:val="false"/>
          <w:u w:val="none"/>
          <w:strike w:val="false"/>
          <w:sz w:val="36"/>
          <w:szCs w:val="36"/>
          <w:color w:val="000000"/>
        </w:rPr>
        <w:t xml:space="preserve">Prediction 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Write your card number and prediction on a sticky note. Put it above the ratio line. Afterwards put this card in the lower lane at the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What evidence would show whether this scenario could happen?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Trainer key for the ratio wall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Participant pages 1 and 2 double-sided, one per person. Cards pages 3 to 7, with 3 to 5 repeated for eight groups. Print the A1 board at landscape size; bring eight sticky notes and markers.</w:t>
      </w:r>
    </w:p>
    <w:tbl xmlns:a="http://schemas.openxmlformats.org/drawingml/2006/main" xmlns:pic="http://schemas.openxmlformats.org/drawingml/2006/picture">
      <w:tblPr>
        <w:tblLayout w:type="fixed"/>
        <w:jc w:val="start"/>
        <w:tblLook w:firstRow="1" w:lastRow="0" w:firstColumn="0" w:lastColumn="0" w:noHBand="0" w:noVBand="1"/>
      </w:tblPr>
      <w:tblGrid>
        <w:gridCol w:w="864"/>
        <w:gridCol w:w="4032"/>
        <w:gridCol w:w="1872"/>
        <w:gridCol w:w="230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Card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Scenario</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Ratio</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Below 1</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Old habits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Hidden costs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 higher discount rate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 shorter life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No</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Old habits and hidden costs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0.80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Yes</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interpretation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Provisional saving is minus city DiD (812 AED), with the parallel-trends limitation carried forward. One-off cost 1,800 AED, no benefit in year 1, five saving years in years 2 to 6, rate 5%. Scenario assumptions are fictional, not measured programme facts.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Discounting expresses later benefits at today's value. The one-year example in the deck is separate from the model's first benefit in year 2. Use unrounded values for ratios; printed inputs are rounded. No double counting when adding omitted costs.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3 | Session 1</w:t>
      </w:r>
    </w:p>
    <w:p>
      <w:pPr>
        <w:pStyle w:val="Title"/>
      </w:pPr>
      <w:r>
        <w:rPr>
          <w:rFonts w:ascii="Arial" w:hAnsi="Arial" w:eastAsia="Arial" w:cs="Arial"/>
          <w:i w:val="false"/>
          <w:b w:val="true"/>
          <w:u w:val="none"/>
          <w:strike w:val="false"/>
          <w:sz w:val="44"/>
          <w:szCs w:val="44"/>
          <w:color w:val="000000"/>
        </w:rPr>
        <w:t xml:space="preserve">Trainer delivery and feedback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Predict once, then one trainer calculation. Scenario results are prepared reveals, not five extra code demonstrations. Keep prediction and result lanes separate. Ask which plausible change matters and what evidence would establish it. Protect the group task and independent close. Total 60 minutes.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AI recommendation accurately repeats a ratio above 1 but turns assumptions into facts. Remove proof of value, guaranteed duration and unconditional approval. A saving threshold and a benefit-cost ratio address different questions. No AI account is required.</w:t>
      </w:r>
    </w:p>
    <w:p>
      <w:pPr>
        <w:pStyle w:val="Normal"/>
      </w:pPr>
      <w:r>
        <w:rPr/>
        <w:drawing>
          <wp:inline distT="0" distB="0" distL="0" distR="0">
            <wp:extent cx="5760720" cy="4069563"/>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4069563"/>
                    </a:xfrm>
                    <a:prstGeom prst="rect">
                      <a:avLst/>
                    </a:prstGeom>
                    <a:noFill/>
                  </pic:spPr>
                </pic:pic>
              </a:graphicData>
            </a:graphic>
          </wp:inline>
        </w:drawing>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a857fe0b2607162afcfabbd431fc133ea0ae87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2026-10-06T22:39:07Z</dcterms:modified>
  <cp:category/>
</cp:coreProperties>
</file>