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Question the analyst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note, choose useful questions and record which answers would justify a recommendation. Make your opening and closing decisions independently.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note offered for sign off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GreenWaste should expand nationally. The pilot estimated a saving of 1,014 AED per business, above our 1,000 AED rule. All methods confirm the programme works, so the evidence is sufficient for approval.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opening decision   Sign off / With conditions / Request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reason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tbl xmlns:a="http://schemas.openxmlformats.org/drawingml/2006/main" xmlns:pic="http://schemas.openxmlformats.org/drawingml/2006/picture">
      <w:tblPr>
        <w:tblLayout w:type="fixed"/>
        <w:jc w:val="start"/>
        <w:tblLook w:firstRow="1" w:lastRow="0" w:firstColumn="0" w:lastColumn="0" w:noHBand="0" w:noVBand="1"/>
      </w:tblPr>
      <w:tblGrid>
        <w:gridCol w:w="3168"/>
        <w:gridCol w:w="2448"/>
        <w:gridCol w:w="345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Method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Estimated saving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for saving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Pilot lottery</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1,014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862 to 1,167</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extra change</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792 to 833</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Jump near score 58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721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498 to 943</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matched comparison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1,029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859 to 1,200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Choose three questions and request evidence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1 Who was compared, and how were they chosen?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2 What assumption supports a claim of cause?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3 Where do the data come from, and who is missing?</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4 What are the estimate, interval and decision rule?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4"/>
          <w:szCs w:val="24"/>
          <w:color w:val="000000"/>
        </w:rPr>
        <w:t xml:space="preserve">5 Does the recommendation go beyond the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My top question and the evidence it requests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Record and assess the answers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Use Supported / Partial / Unanswered. Cite a source or state the evidence still missing.</w:t>
      </w:r>
    </w:p>
    <w:tbl xmlns:a="http://schemas.openxmlformats.org/drawingml/2006/main" xmlns:pic="http://schemas.openxmlformats.org/drawingml/2006/picture">
      <w:tblPr>
        <w:tblLayout w:type="fixed"/>
        <w:jc w:val="start"/>
        <w:tblLook w:firstRow="1" w:lastRow="0" w:firstColumn="0" w:lastColumn="0" w:noHBand="0" w:noVBand="1"/>
      </w:tblPr>
      <w:tblGrid>
        <w:gridCol w:w="2304"/>
        <w:gridCol w:w="5040"/>
        <w:gridCol w:w="172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Question asked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Answer and evidence</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Rating</w:t>
            </w:r>
          </w:p>
        </w:tc>
      </w:tr>
      <w:tr>
        <w:trPr>
          <w:trHeight w:val="1008"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1008"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1008"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unresolved issue that matters most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its answer change?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final decision and reason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Sign off / With conditions / Request evidence. Give a source-based reason, then compare with your opening choice.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Check an illustrative AI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"Four independent studies agree. All intervals clear the rule. No businesses are missing, so data quality is established."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Use the source to repair the conclusion.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independent request to the evaluator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Name specific evidence and explain its purpose. No AI.</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Analyst answer bank 1</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Trainer only. Answer from this bank or say evidence is not supplied. Do not invent fieldwork, earlier trends or checks. Participants may ask in any order.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Which estimate is the headline?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note selected the pilot point estimate, 1,014 AED saving. It comes from 400 lottery-assigned businesses in one district after 12 months.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Do all methods confirm the same effect?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No. Methods use different comparisons and populations; city methods reuse the same records and are not independent confirmations. Each has assumptions and limitations.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Is the minimum saving settled?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pilot interval is 862 to 1,167 AED saving and crosses the 1,000 AED rule. The point estimate clears it; the interval does not settle it.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Can earlier city trends be checked?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No. The file has one before measure. Several earlier measures and evidence about other changes are needed.</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Analyst answer bank 2</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Trainer only. Answer from this bank or say evidence is not supplied. Do not invent fieldwork, earlier trends or checks. Participants may ask in any order.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What else jumps at 58?</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Pre-programme manager age jumps by about 5.3 years. The extract has no evidence about whether businesses manipulated scores.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Are all matched businesses comparable?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All participants get a nearest neighbour without a distance limit. 585 different controls are reused, one 440 times; manager ages remain 3.0 years apart. Request closeness and support checks.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Who is missing and how were outcomes measured?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synthetic file has one complete row per generated business. That does not establish real recruitment, follow-up, measurement reliability or representativeness. No fieldwork or attrition documentation is supplied.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Does the ratio prove value for money?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provisional model gives 1.86 under fictional cost and duration assumptions. It uses the city DiD saving, whose causal assumption remains uncertain. Request costs, duration evidence and sensitivity.</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3</w:t>
      </w:r>
    </w:p>
    <w:p>
      <w:pPr>
        <w:pStyle w:val="Title"/>
      </w:pPr>
      <w:r>
        <w:rPr>
          <w:rFonts w:ascii="Arial" w:hAnsi="Arial" w:eastAsia="Arial" w:cs="Arial"/>
          <w:i w:val="false"/>
          <w:b w:val="true"/>
          <w:u w:val="none"/>
          <w:strike w:val="false"/>
          <w:sz w:val="44"/>
          <w:szCs w:val="44"/>
          <w:color w:val="000000"/>
        </w:rPr>
        <w:t xml:space="preserve">Trainer key for the analyst clinic</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Participant pages 1 and 2 double-sided per person. Pages 3 and 4 are the analyst bank; this page is trainer only. The separate shortened QA checklist is an optional desk reference.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answer quality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Results share day3_case.R. Pilot OLS interval; city DiD business-clustered interval; RDD robust HC2; matching reported business-clustered interval treating chosen matches as given. Data are synthetic. Complete generated rows do not establish real recruitment, reliable measurement or representative follow-up.</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Supported: stated lottery comparison and its interval; score rule and disclosed age jump. Partial: a point estimate without its interval or a credible assumption. Unanswered: real fieldwork quality, earlier trends or score manipulation evidence. Recognise transparent disclosure as a strength while distinguishing it from resolving the concern.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Clinic and demonstration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question per group, with a short follow-up, in fourteen minutes. Keep the answer bank visible only to the trainer. Produce the pilot interval once to answer the saving-rule question; other answers use printed evidence. No old neighbourhood lab or repeated live analyses. Protect the five-minute break. Total 75 minutes.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Sign off and AI</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note selects the pilot point estimate and overclaims agreement and approval. City methods share records and describe different comparisons. Two intervals span the rule and two fall short. Repair the AI claim of independent confirmations and of established data quality. Assess the individual evidence request, not a change in room votes alone.</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2026-10-06T22:39:09Z</dcterms:modified>
  <cp:category/>
</cp:coreProperties>
</file>