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4 | Session 1</w:t>
      </w:r>
    </w:p>
    <w:p>
      <w:pPr>
        <w:pStyle w:val="Title"/>
      </w:pPr>
      <w:r>
        <w:rPr>
          <w:rFonts w:ascii="Arial" w:hAnsi="Arial" w:eastAsia="Arial" w:cs="Arial"/>
          <w:i w:val="false"/>
          <w:b w:val="true"/>
          <w:u w:val="none"/>
          <w:strike w:val="false"/>
          <w:sz w:val="44"/>
          <w:szCs w:val="44"/>
          <w:color w:val="000000"/>
        </w:rPr>
        <w:t xml:space="preserve">GreenWaste evaluation report for review</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Read the stated evidence, then judge what it can support. Cite a section when you question a claim.</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 This report contains deliberate flaws for review.</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1 Executive summary</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GreenWaste helps businesses reduce annual waste costs. The authority asks whether the evidence supports expansion beyond the pilot district and the city. Its minimum saving rule is 1,000 AED per business per year.</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Our headline is the city matched comparison: a saving of 1,029 AED per business per year. This exceeds the rule. Four independent methods all show lower costs, confirming that GreenWaste caused the saving. The programme therefore meets the standard for nationwide expansion.</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Costs fell by 669 AED among city participants. This proves the programme benefited every participating business. The benefit-cost model gives 1.86, which confirms that the programme pays for itself. We recommend approval.</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2 The programme</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GreenWaste provides waste-management equipment and support to businesses. In one pilot district, a lottery selected 200 of 400 businesses to join; 200 waited. In the rest of the city, businesses with an efficiency score of 58 or below took part. Those above 58 did not.</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The outcome is each business's recorded annual waste cost in AED. Each business has one measure before GreenWaste and one 12 months after. A lower annual cost is a saving. The pilot district and city provide different comparisons.</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4 | Session 1</w:t>
      </w:r>
    </w:p>
    <w:p>
      <w:pPr>
        <w:pStyle w:val="Title"/>
      </w:pPr>
      <w:r>
        <w:rPr>
          <w:rFonts w:ascii="Arial" w:hAnsi="Arial" w:eastAsia="Arial" w:cs="Arial"/>
          <w:i w:val="false"/>
          <w:b w:val="true"/>
          <w:u w:val="none"/>
          <w:strike w:val="false"/>
          <w:sz w:val="44"/>
          <w:szCs w:val="44"/>
          <w:color w:val="000000"/>
        </w:rPr>
        <w:t xml:space="preserve">GreenWaste design and data</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3 Evaluation design</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Pilot lottery: compare costs after 12 months for businesses assigned to join and those assigned to wait. Random assignment makes this comparison informative for the pilot district. It does not by itself establish the effect of nationwide expansion.</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City extra change, or difference-in-differences: compare the before/after change for city participants with the change for other city businesses. This is our preferred city analysis. It requires that both groups would have changed similarly without GreenWaste. Because both groups are in the same city, that assumption is guaranteed.</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Jump near score 58, or regression discontinuity: compare nearby businesses on either side of the rule, within two score points. The result concerns businesses near the cut-off. The approach requires that other relevant factors do not jump at the rule.</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Matched comparison: compare city participants with other businesses similar in recorded manager age, staff, area and filtration. Matching cannot remove differences in factors that were not recorded.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4 Data</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The synthetic training file contains 400 pilot businesses and 10,000 city businesses, with one complete row per business. In the city, 4,794 took part and 5,206 did not. Outcomes are annual waste costs before the programme and 12 months after.</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There are no empty outcome cells in this generated file. This establishes reliable measurement and complete real-world follow-up. No fieldwork records, recruitment log or measurement validation are supplied.</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4 | Session 1</w:t>
      </w:r>
    </w:p>
    <w:p>
      <w:pPr>
        <w:pStyle w:val="Title"/>
      </w:pPr>
      <w:r>
        <w:rPr>
          <w:rFonts w:ascii="Arial" w:hAnsi="Arial" w:eastAsia="Arial" w:cs="Arial"/>
          <w:i w:val="false"/>
          <w:b w:val="true"/>
          <w:u w:val="none"/>
          <w:strike w:val="false"/>
          <w:sz w:val="44"/>
          <w:szCs w:val="44"/>
          <w:color w:val="000000"/>
        </w:rPr>
        <w:t xml:space="preserve">GreenWaste results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5 Results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table reports estimated annual savings as positive amounts. Its 95% confidence intervals show uncertainty under each analysis and its assumptions. They do not include every possible source of bias.</w:t>
      </w:r>
    </w:p>
    <w:tbl xmlns:a="http://schemas.openxmlformats.org/drawingml/2006/main" xmlns:pic="http://schemas.openxmlformats.org/drawingml/2006/picture">
      <w:tblPr>
        <w:tblLayout w:type="fixed"/>
        <w:jc w:val="start"/>
        <w:tblLook w:firstRow="1" w:lastRow="0" w:firstColumn="0" w:lastColumn="0" w:noHBand="0" w:noVBand="1"/>
      </w:tblPr>
      <w:tblGrid>
        <w:gridCol w:w="3168"/>
        <w:gridCol w:w="2448"/>
        <w:gridCol w:w="3456"/>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Method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Estimated saving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95% interval for saving AED</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Pilot lottery</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1,014</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862 to 1,167</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City extra change</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812</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792 to 833</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Jump near score 58</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721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498 to 943</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City matched comparison</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1,029</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859 to 1,200</w:t>
            </w:r>
          </w:p>
        </w:tc>
      </w:tr>
    </w:tbl>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Source: corrected synthetic GreenWaste file. Annual saving per business in AED, 12 months after the programme.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We choose the matched comparison for the headline because its estimate is the largest. We rely on its point estimate to decide that the minimum saving rule is met.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pilot point estimate is 1,014 AED. The preferred city extra-change estimate is 812 AED. All four point estimates have the same sign, so we regard them as four independent confirmations. The recorded before/after fall among city participants is 669 AED; that descriptive fall is separate from the four estimates.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The two city quantities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Recorded mean fall among participants: 669 AED. Estimated extra change relative to other city businesses: 812 AED. These quantities use different comparisons.</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4 | Session 1</w:t>
      </w:r>
    </w:p>
    <w:p>
      <w:pPr>
        <w:pStyle w:val="Title"/>
      </w:pPr>
      <w:r>
        <w:rPr>
          <w:rFonts w:ascii="Arial" w:hAnsi="Arial" w:eastAsia="Arial" w:cs="Arial"/>
          <w:i w:val="false"/>
          <w:b w:val="true"/>
          <w:u w:val="none"/>
          <w:strike w:val="false"/>
          <w:sz w:val="44"/>
          <w:szCs w:val="44"/>
          <w:color w:val="000000"/>
        </w:rPr>
        <w:t xml:space="preserve">GreenWaste limitations and recommendations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6 Limitations</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There is only one before measure, so earlier city trends cannot be checked here. The pilot comes from one district. The estimate near score 58 concerns nearby businesses, rather than every city business. These limits matter when considering a wider rollout.</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Manager age jumps by about 5.3 years near the score rule in the five-point window. Matching reuses 585 different controls, including one used 440 times; a manager-age gap of 3.0 years remains. No score-manipulation evidence or real fieldwork documentation is supplied.</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The value-for-money model assumes 1,800 AED one-off cost, savings beginning in year 2 and lasting five years, and a 5% discount rate. It uses the city extra-change saving provisionally. Duration, timing and costs are fictional assumptions, not measured programme facts.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7 Recommendations</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Approve nationwide expansion now, with the same eligibility rule. Four confirmations and a headline above the minimum saving rule provide sufficient evidence for this action.</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Approve the programme budget because the benefit-cost ratio exceeds 1. No additional evidence about costs, saving duration or nationwide delivery is needed.</w:t>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2026-10-06T22:39:12Z</dcterms:modified>
  <cp:category/>
</cp:coreProperties>
</file>