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1 | Session 2</w:t>
      </w:r>
    </w:p>
    <w:p>
      <w:pPr>
        <w:pStyle w:val="Title"/>
      </w:pPr>
      <w:r>
        <w:rPr>
          <w:rFonts w:ascii="Arial" w:hAnsi="Arial" w:eastAsia="Arial" w:cs="Arial"/>
          <w:i w:val="false"/>
          <w:b w:val="true"/>
          <w:u w:val="none"/>
          <w:strike w:val="false"/>
          <w:sz w:val="44"/>
          <w:szCs w:val="44"/>
          <w:color w:val="000000"/>
        </w:rPr>
        <w:t xml:space="preserve">Read a reported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Read the extract. Circle the estimate, box its interval and underline the comparison. Use these to write a careful decision sentence.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Fictional GreenWaste case | invented figures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The decision rule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At least 1,000 AED annual saving per business, measured 12 months later. This is an invented course rule; it is not a full value-for-money test.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The report extract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City businesses that took part: the same businesses before and 12 months after. Outcome: annual waste cost, AED per business.</w:t>
      </w:r>
    </w:p>
    <w:tbl xmlns:a="http://schemas.openxmlformats.org/drawingml/2006/main" xmlns:pic="http://schemas.openxmlformats.org/drawingml/2006/picture">
      <w:tblPr>
        <w:tblLayout w:type="fixed"/>
        <w:jc w:val="start"/>
        <w:tblLook w:firstRow="1" w:lastRow="0" w:firstColumn="0" w:lastColumn="0" w:noHBand="0" w:noVBand="1"/>
      </w:tblPr>
      <w:tblGrid>
        <w:gridCol w:w="2736"/>
        <w:gridCol w:w="1800"/>
        <w:gridCol w:w="3240"/>
        <w:gridCol w:w="2016"/>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Result row</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Coefficient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95% interval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p-value</w:t>
            </w:r>
          </w:p>
        </w:tc>
      </w:tr>
      <w:tr>
        <w:trPr>
          <w:trHeight w:val="360"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After GreenWaste</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-669</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-684 to -654</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&lt; 0.001</w:t>
            </w:r>
          </w:p>
        </w:tc>
      </w:tr>
    </w:tbl>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Negative means lower costs. Coefficient means the number beside the named result row. The confidence interval describes statistical uncertainty; it does not cover every source of bias.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1 What does the result say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Write the change with its units, group and period.</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2 Does the reported change meet the rule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Explain using the estimate and interval.</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1 | Session 2</w:t>
      </w:r>
    </w:p>
    <w:p>
      <w:pPr>
        <w:pStyle w:val="Title"/>
      </w:pPr>
      <w:r>
        <w:rPr>
          <w:rFonts w:ascii="Arial" w:hAnsi="Arial" w:eastAsia="Arial" w:cs="Arial"/>
          <w:i w:val="false"/>
          <w:b w:val="true"/>
          <w:u w:val="none"/>
          <w:strike w:val="false"/>
          <w:sz w:val="44"/>
          <w:szCs w:val="44"/>
          <w:color w:val="000000"/>
        </w:rPr>
        <w:t xml:space="preserve">Check the conclusion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3 What does this comparison leave unanswered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What could have changed costs without GreenWaste? What would you ask the evaluator?</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4 Repair this illustrative AI summary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"City participants' annual costs fell by 669 AED. GreenWaste caused that saving, so scale-up is justified."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Underline what the extract supports. Cross out what it does not support. Rewrite the conclusion using the source.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5 Your decision sentence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State the result, one limit and your next question. Work alone before comparing with a partner.</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A small p-value does not establish cause or a large enough saving. A non-significant result does not prove there is no effect.</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1 | Session 2</w:t>
      </w:r>
    </w:p>
    <w:p>
      <w:pPr>
        <w:pStyle w:val="Title"/>
      </w:pPr>
      <w:r>
        <w:rPr>
          <w:rFonts w:ascii="Arial" w:hAnsi="Arial" w:eastAsia="Arial" w:cs="Arial"/>
          <w:i w:val="false"/>
          <w:b w:val="true"/>
          <w:u w:val="none"/>
          <w:strike w:val="false"/>
          <w:sz w:val="44"/>
          <w:szCs w:val="44"/>
          <w:color w:val="000000"/>
        </w:rPr>
        <w:t xml:space="preserve">Trainer key for reading a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Print pages 1 and 2 double-sided, one per participant. This page is trainer only.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Source and answer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Change -669 AED; 95% interval -684 to -654. Annual cost for city participants, after minus before, measured 12 months later. Both the estimate and interval imply a saving below the 1,000 AED rule. The result does not isolate what GreenWaste caused.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 printed regression stacks each business twice and clusters standard errors by business using estimatr::lm_robust with se_type = stata. The trainer's short live arithmetic reproduces its coefficient. Displayed means are rounded; subtracting them can differ by one AED.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Feedback</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Insist on comparison, units and period. Negative here means lower costs. The interval concerns the reported change, not individual business outcomes. Its precision does not solve causal bias. Statistical significance concerns a no-change model and its assumptions; it is not a probability that the programme works.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AI and independent close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Keep the descriptive fall; remove the causal and scale-up conclusion. Example: the observed fall is below the rule, but this comparison cannot isolate the programme's effect. Ask for a credible estimate of what happened without GreenWaste. Review source evidence yourselves, even if a second AI agrees.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Delivery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One trainer-run calculation only. Predict its sign before Run. If webR cannot load, use the printed result. Protect ten minutes for individual mark-up, pair comparison and feedback. Total 60 minutes.</w:t>
      </w:r>
    </w:p>
    <w:sectPr>
      <w:pgMar w:header="708" w:bottom="936" w:top="936" w:right="1008" w:left="1008"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Title">
    <w:name w:val="Title"/>
    <w:basedOn w:val="Normal"/>
    <w:next w:val="Normal"/>
    <w:qFormat/>
    <w:rPr>
      <w:color w:val="000000"/>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2026-10-06T21:07:11Z</dcterms:modified>
  <cp:category/>
</cp:coreProperties>
</file>