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3 | Session 3</w:t>
      </w:r>
    </w:p>
    <w:p>
      <w:pPr>
        <w:pStyle w:val="Title"/>
      </w:pPr>
      <w:r>
        <w:rPr>
          <w:rFonts w:ascii="Arial" w:hAnsi="Arial" w:eastAsia="Arial" w:cs="Arial"/>
          <w:i w:val="false"/>
          <w:b w:val="true"/>
          <w:u w:val="none"/>
          <w:strike w:val="false"/>
          <w:sz w:val="44"/>
          <w:szCs w:val="44"/>
          <w:color w:val="000000"/>
        </w:rPr>
        <w:t xml:space="preserve">Question the analyst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Read the note, choose useful questions and record which answers would justify a recommendation. Make your opening and closing decisions independently.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Fictional GreenWaste case | invented figures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The note offered for sign off</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GreenWaste should expand nationally. The pilot estimated a saving of 1,014 AED per business, above our 1,000 AED rule. All methods confirm the programme works, so the evidence is sufficient for approval.</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My opening decision   Sign off / With conditions / Request evidence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My reason</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tbl xmlns:a="http://schemas.openxmlformats.org/drawingml/2006/main" xmlns:pic="http://schemas.openxmlformats.org/drawingml/2006/picture">
      <w:tblPr>
        <w:tblLayout w:type="fixed"/>
        <w:jc w:val="start"/>
        <w:tblLook w:firstRow="1" w:lastRow="0" w:firstColumn="0" w:lastColumn="0" w:noHBand="0" w:noVBand="1"/>
      </w:tblPr>
      <w:tblGrid>
        <w:gridCol w:w="3168"/>
        <w:gridCol w:w="2448"/>
        <w:gridCol w:w="3456"/>
      </w:tblGrid>
      <w:tr>
        <w:trPr>
          <w:trHeight w:val="360" w:hRule="auto"/>
          <w:tblHeader/>
        </w:trPr>
        header1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Method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Estimated saving AED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95% interval for saving AED</w:t>
            </w:r>
          </w:p>
        </w:tc>
      </w:tr>
      <w:tr>
        <w:trPr>
          <w:trHeight w:val="360" w:hRule="auto"/>
        </w:trPr>
        body1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Pilot lottery</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1,014</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862 to 1,167</w:t>
            </w:r>
          </w:p>
        </w:tc>
      </w:tr>
      <w:tr>
        <w:trPr>
          <w:trHeight w:val="360" w:hRule="auto"/>
        </w:trPr>
        body2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City extra change</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812</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792 to 833</w:t>
            </w:r>
          </w:p>
        </w:tc>
      </w:tr>
      <w:tr>
        <w:trPr>
          <w:trHeight w:val="360" w:hRule="auto"/>
        </w:trPr>
        body3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Jump near score 58</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721</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498 to 943</w:t>
            </w:r>
          </w:p>
        </w:tc>
      </w:tr>
      <w:tr>
        <w:trPr>
          <w:trHeight w:val="360" w:hRule="auto"/>
        </w:trPr>
        body4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City matched comparison</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1,029</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859 to 1,200</w:t>
            </w:r>
          </w:p>
        </w:tc>
      </w:tr>
    </w:tbl>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Choose three questions and request evidence</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4"/>
          <w:szCs w:val="24"/>
          <w:color w:val="000000"/>
        </w:rPr>
        <w:t xml:space="preserve">1 Who was compared, and how were they chosen?</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4"/>
          <w:szCs w:val="24"/>
          <w:color w:val="000000"/>
        </w:rPr>
        <w:t xml:space="preserve">2 What assumption supports a claim of cause?</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4"/>
          <w:szCs w:val="24"/>
          <w:color w:val="000000"/>
        </w:rPr>
        <w:t xml:space="preserve">3 Where do the data come from, and who is missing?</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4"/>
          <w:szCs w:val="24"/>
          <w:color w:val="000000"/>
        </w:rPr>
        <w:t xml:space="preserve">4 What are the estimate, interval and decision rule?</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4"/>
          <w:szCs w:val="24"/>
          <w:color w:val="000000"/>
        </w:rPr>
        <w:t xml:space="preserve">5 Does the recommendation go beyond the evidence?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My top question and the evidence it requests</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3 | Session 3</w:t>
      </w:r>
    </w:p>
    <w:p>
      <w:pPr>
        <w:pStyle w:val="Title"/>
      </w:pPr>
      <w:r>
        <w:rPr>
          <w:rFonts w:ascii="Arial" w:hAnsi="Arial" w:eastAsia="Arial" w:cs="Arial"/>
          <w:i w:val="false"/>
          <w:b w:val="true"/>
          <w:u w:val="none"/>
          <w:strike w:val="false"/>
          <w:sz w:val="44"/>
          <w:szCs w:val="44"/>
          <w:color w:val="000000"/>
        </w:rPr>
        <w:t xml:space="preserve">Record and assess the answers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Use Supported / Partial / Unanswered. Cite a source or state the evidence still missing.</w:t>
      </w:r>
    </w:p>
    <w:tbl xmlns:a="http://schemas.openxmlformats.org/drawingml/2006/main" xmlns:pic="http://schemas.openxmlformats.org/drawingml/2006/picture">
      <w:tblPr>
        <w:tblLayout w:type="fixed"/>
        <w:jc w:val="start"/>
        <w:tblLook w:firstRow="1" w:lastRow="0" w:firstColumn="0" w:lastColumn="0" w:noHBand="0" w:noVBand="1"/>
      </w:tblPr>
      <w:tblGrid>
        <w:gridCol w:w="2304"/>
        <w:gridCol w:w="5040"/>
        <w:gridCol w:w="1728"/>
      </w:tblGrid>
      <w:tr>
        <w:trPr>
          <w:trHeight w:val="360" w:hRule="auto"/>
          <w:tblHeader/>
        </w:trPr>
        header1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Question asked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Answer and evidence</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Rating</w:t>
            </w:r>
          </w:p>
        </w:tc>
      </w:tr>
      <w:tr>
        <w:trPr>
          <w:trHeight w:val="1008" w:hRule="auto"/>
        </w:trPr>
        body1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r>
      <w:tr>
        <w:trPr>
          <w:trHeight w:val="1008" w:hRule="auto"/>
        </w:trPr>
        body2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r>
      <w:tr>
        <w:trPr>
          <w:trHeight w:val="1008" w:hRule="auto"/>
        </w:trPr>
        body3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r>
    </w:tbl>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The unresolved issue that matters most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What would its answer change?</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My final decision and reason</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Sign off / With conditions / Request evidence. Give a source-based reason, then compare with your opening choice.</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Check an illustrative AI review</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"Four independent studies agree. All intervals clear the rule. No businesses are missing, so data quality is established."</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Cross out unsupported claims. Use the source to repair the conclusion.</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My independent request to the evaluator</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Name specific evidence and explain its purpose. No AI.</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3 | Session 3</w:t>
      </w:r>
    </w:p>
    <w:p>
      <w:pPr>
        <w:pStyle w:val="Title"/>
      </w:pPr>
      <w:r>
        <w:rPr>
          <w:rFonts w:ascii="Arial" w:hAnsi="Arial" w:eastAsia="Arial" w:cs="Arial"/>
          <w:i w:val="false"/>
          <w:b w:val="true"/>
          <w:u w:val="none"/>
          <w:strike w:val="false"/>
          <w:sz w:val="44"/>
          <w:szCs w:val="44"/>
          <w:color w:val="000000"/>
        </w:rPr>
        <w:t xml:space="preserve">Analyst answer bank 1</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Trainer only. Answer from this bank or say evidence is not supplied. Do not invent fieldwork, earlier trends or checks. Participants may ask in any order.</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Which estimate is the headline?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The note selected the pilot point estimate, 1,014 AED saving. It comes from 400 lottery-assigned businesses in one district after 12 months.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Do all methods confirm the same effect?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No. Methods use different comparisons and populations; city methods reuse the same records and are not independent confirmations. Each has assumptions and limitations.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Is the minimum saving settled?</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The pilot interval is 862 to 1,167 AED saving and crosses the 1,000 AED rule. The point estimate clears it; the interval does not settle it.</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Can earlier city trends be checked?</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No. The file has one before measure. Several earlier measures and evidence about other changes are needed.</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3 | Session 3</w:t>
      </w:r>
    </w:p>
    <w:p>
      <w:pPr>
        <w:pStyle w:val="Title"/>
      </w:pPr>
      <w:r>
        <w:rPr>
          <w:rFonts w:ascii="Arial" w:hAnsi="Arial" w:eastAsia="Arial" w:cs="Arial"/>
          <w:i w:val="false"/>
          <w:b w:val="true"/>
          <w:u w:val="none"/>
          <w:strike w:val="false"/>
          <w:sz w:val="44"/>
          <w:szCs w:val="44"/>
          <w:color w:val="000000"/>
        </w:rPr>
        <w:t xml:space="preserve">Analyst answer bank 2</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Trainer only. Answer from this bank or say evidence is not supplied. Do not invent fieldwork, earlier trends or checks. Participants may ask in any order.</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What else jumps at 58?</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Pre-programme manager age jumps by about 5.3 years. The extract has no evidence about whether businesses manipulated scores.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Are all matched businesses comparable?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All participants get a nearest neighbour without a distance limit. 585 different controls are reused, one 440 times; manager ages remain 3.0 years apart. Request closeness and support checks.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Who is missing and how were outcomes measured?</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The synthetic file has one complete row per generated business. That does not establish real recruitment, follow-up, measurement reliability or representativeness. No fieldwork or attrition documentation is supplied.</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Does the ratio prove value for money?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The provisional model gives 1.86 under fictional cost and duration assumptions. It uses the city DiD saving, whose causal assumption remains uncertain. Request costs, duration evidence and sensitivity.</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3 | Session 3</w:t>
      </w:r>
    </w:p>
    <w:p>
      <w:pPr>
        <w:pStyle w:val="Title"/>
      </w:pPr>
      <w:r>
        <w:rPr>
          <w:rFonts w:ascii="Arial" w:hAnsi="Arial" w:eastAsia="Arial" w:cs="Arial"/>
          <w:i w:val="false"/>
          <w:b w:val="true"/>
          <w:u w:val="none"/>
          <w:strike w:val="false"/>
          <w:sz w:val="44"/>
          <w:szCs w:val="44"/>
          <w:color w:val="000000"/>
        </w:rPr>
        <w:t xml:space="preserve">Trainer key for the analyst clinic</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Participant pages 1 and 2 double-sided per person. Pages 3 and 4 are the analyst bank; this page is trainer only. The separate shortened QA checklist is an optional desk reference.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Source and answer quality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Results share day3_case.R. Pilot OLS interval; city DiD business-clustered interval; RDD robust HC2; matching reported business-clustered interval treating chosen matches as given. Data are synthetic. Complete generated rows do not establish real recruitment, reliable measurement or representative follow-up.</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Supported: stated lottery comparison and its interval; score rule and disclosed age jump. Partial: a point estimate without its interval or a credible assumption. Unanswered: real fieldwork quality, earlier trends or score manipulation evidence. Recognise transparent disclosure as a strength while distinguishing it from resolving the concern.</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Clinic and demonstration</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One question per group, with a short follow-up, in fourteen minutes. Keep the answer bank visible only to the trainer. Produce the pilot interval once to answer the saving-rule question; other answers use printed evidence. No old neighbourhood lab or repeated live analyses. Protect the five-minute break. Total 75 minutes.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Sign off and AI</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The note selects the pilot point estimate and overclaims agreement and approval. City methods share records and describe different comparisons. Two intervals span the rule and two fall short. Repair the AI claim of independent confirmations and of established data quality. Assess the individual evidence request, not a change in room votes alone.</w:t>
      </w:r>
    </w:p>
    <w:sectPr>
      <w:pgMar w:header="708" w:bottom="936" w:top="936" w:right="1008" w:left="1008" w:footer="708"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w:type="paragraph" w:styleId="Title">
    <w:name w:val="Title"/>
    <w:basedOn w:val="Normal"/>
    <w:next w:val="Normal"/>
    <w:qFormat/>
    <w:rPr>
      <w:color w:val="000000"/>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2026-10-06T21:53:29Z</dcterms:modified>
  <cp:category/>
</cp:coreProperties>
</file>