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Reading Impact Evaluation Results · the case for the week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63360"/>
        </w:rPr>
        <w:t xml:space="preserve">The GreenWaste programme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GreenWaste helps businesses cut their waste costs. Here is how it reached them.</w:t>
      </w:r>
    </w:p>
    <w:p>
      <w:pPr>
        <w:pStyle w:val="Normal"/>
      </w:pPr>
      <w:r>
        <w:rPr/>
        <w:drawing>
          <wp:inline distT="0" distB="0" distL="0" distR="0">
            <wp:extent cx="8778240" cy="34442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6"/>
          <w:szCs w:val="26"/>
          <w:color w:val="000000"/>
        </w:rPr>
        <w:t xml:space="preserve">In the pilot district,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000000"/>
        </w:rPr>
        <w:t xml:space="preserve">a lottery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6"/>
          <w:szCs w:val="26"/>
          <w:color w:val="000000"/>
        </w:rPr>
        <w:t xml:space="preserve"> chose which shops joined. Everywhere else, shops scoring </w:t>
      </w: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000000"/>
        </w:rPr>
        <w:t xml:space="preserve">58 or below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6"/>
          <w:szCs w:val="26"/>
          <w:color w:val="000000"/>
        </w:rPr>
        <w:t xml:space="preserve"> joined. Every business has an efficiency score from 0 to 100; higher means more efficient.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9"/>
          <w:szCs w:val="19"/>
          <w:color w:val="545860"/>
        </w:rPr>
        <w:t xml:space="preserve">Invented for this training.</w:t>
      </w:r>
    </w:p>
    <w:sectPr>
      <w:pgMar w:header="708" w:bottom="864" w:top="864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125ef2c0901cefe4e93558a7364c4f96c7e3d9a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2026-10-06T11:10:24Z</dcterms:modified>
  <cp:category/>
</cp:coreProperties>
</file>