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GreenWaste</w:t>
      </w:r>
      <w:r>
        <w:t xml:space="preserve"> </w:t>
      </w:r>
      <w:r>
        <w:t xml:space="preserve">Programme:</w:t>
      </w:r>
      <w:r>
        <w:t xml:space="preserve"> </w:t>
      </w:r>
      <w:r>
        <w:t xml:space="preserve">Impact</w:t>
      </w:r>
      <w:r>
        <w:t xml:space="preserve"> </w:t>
      </w:r>
      <w:r>
        <w:t xml:space="preserve">Evaluation</w:t>
      </w:r>
      <w:r>
        <w:t xml:space="preserve"> </w:t>
      </w:r>
      <w:r>
        <w:t xml:space="preserve">Report</w:t>
      </w:r>
    </w:p>
    <w:p>
      <w:pPr>
        <w:pStyle w:val="Subtitle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commissioning</w:t>
      </w:r>
      <w:r>
        <w:t xml:space="preserve"> </w:t>
      </w:r>
      <w:r>
        <w:t xml:space="preserve">authority</w:t>
      </w:r>
      <w:r>
        <w:t xml:space="preserve"> </w:t>
      </w:r>
      <w:r>
        <w:t xml:space="preserve">·</w:t>
      </w:r>
      <w:r>
        <w:t xml:space="preserve"> </w:t>
      </w:r>
      <w:r>
        <w:t xml:space="preserve">Evaluation</w:t>
      </w:r>
      <w:r>
        <w:t xml:space="preserve"> </w:t>
      </w:r>
      <w:r>
        <w:t xml:space="preserve">Report</w:t>
      </w:r>
      <w:r>
        <w:t xml:space="preserve"> </w:t>
      </w:r>
      <w:r>
        <w:t xml:space="preserve">ER-2026-014</w:t>
      </w:r>
    </w:p>
    <w:p>
      <w:pPr>
        <w:pStyle w:val="Author"/>
      </w:pPr>
      <w:r>
        <w:t xml:space="preserve">Commissioned</w:t>
      </w:r>
      <w:r>
        <w:t xml:space="preserve"> </w:t>
      </w:r>
      <w:r>
        <w:t xml:space="preserve">evaluation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September</w:t>
      </w:r>
      <w:r>
        <w:t xml:space="preserve"> </w:t>
      </w:r>
      <w:r>
        <w:t xml:space="preserve">2026</w:t>
      </w:r>
    </w:p>
    <w:p>
      <w:pPr>
        <w:pStyle w:val="IntenseQuote"/>
      </w:pPr>
      <w:r>
        <w:rPr>
          <w:bCs/>
          <w:b/>
        </w:rPr>
        <w:t xml:space="preserve">This is a fictitious evaluation report</w:t>
      </w:r>
      <w:r>
        <w:t xml:space="preserve">, written for the Module 2 quality-assurance</w:t>
      </w:r>
      <w:r>
        <w:t xml:space="preserve"> </w:t>
      </w:r>
      <w:r>
        <w:t xml:space="preserve">session. The programme, the data and every number in it are invented for teaching.</w:t>
      </w:r>
      <w:r>
        <w:t xml:space="preserve"> </w:t>
      </w:r>
      <w:r>
        <w:t xml:space="preserve">It contains deliberate strengths and deliberate weaknesses. It does not describe any</w:t>
      </w:r>
      <w:r>
        <w:t xml:space="preserve"> </w:t>
      </w:r>
      <w:r>
        <w:t xml:space="preserve">real programme, and no real organisation produced it.</w:t>
      </w:r>
    </w:p>
    <w:bookmarkStart w:id="20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GreenWaste programme subsidises advanced waste-management technology for</w:t>
      </w:r>
      <w:r>
        <w:t xml:space="preserve"> </w:t>
      </w:r>
      <w:r>
        <w:t xml:space="preserve">businesses in selected neighbourhoods. It was introduced in 2024 with the</w:t>
      </w:r>
      <w:r>
        <w:t xml:space="preserve"> </w:t>
      </w:r>
      <w:r>
        <w:t xml:space="preserve">objective of reducing the waste-management costs borne by participating</w:t>
      </w:r>
      <w:r>
        <w:t xml:space="preserve"> </w:t>
      </w:r>
      <w:r>
        <w:t xml:space="preserve">businesses, and the commissioning authority set a decision threshold: the</w:t>
      </w:r>
      <w:r>
        <w:t xml:space="preserve"> </w:t>
      </w:r>
      <w:r>
        <w:t xml:space="preserve">programme would be recommended for national scale-up if it reduced costs by at</w:t>
      </w:r>
      <w:r>
        <w:t xml:space="preserve"> </w:t>
      </w:r>
      <w:r>
        <w:t xml:space="preserve">least 1,000 AED per business per year.</w:t>
      </w:r>
    </w:p>
    <w:p>
      <w:pPr>
        <w:pStyle w:val="BodyText"/>
      </w:pPr>
      <w:r>
        <w:t xml:space="preserve">This evaluation finds that the programme reduced waste-management costs by</w:t>
      </w:r>
      <w:r>
        <w:t xml:space="preserve"> </w:t>
      </w:r>
      <w:r>
        <w:rPr>
          <w:bCs/>
          <w:b/>
        </w:rPr>
        <w:t xml:space="preserve">approximately 1,000 AED per business per year</w:t>
      </w:r>
      <w:r>
        <w:t xml:space="preserve">, and that the estimate is</w:t>
      </w:r>
      <w:r>
        <w:t xml:space="preserve"> </w:t>
      </w:r>
      <w:r>
        <w:t xml:space="preserve">statistically significant. The finding is robust across four independent</w:t>
      </w:r>
      <w:r>
        <w:t xml:space="preserve"> </w:t>
      </w:r>
      <w:r>
        <w:t xml:space="preserve">estimation methods, each of which produced a result in the same direction and of</w:t>
      </w:r>
      <w:r>
        <w:t xml:space="preserve"> </w:t>
      </w:r>
      <w:r>
        <w:t xml:space="preserve">similar magnitude.</w:t>
      </w:r>
    </w:p>
    <w:p>
      <w:pPr>
        <w:pStyle w:val="BodyText"/>
      </w:pPr>
      <w:r>
        <w:t xml:space="preserve">The programme therefore meets the threshold for scale-up. The evidence base is</w:t>
      </w:r>
      <w:r>
        <w:t xml:space="preserve"> </w:t>
      </w:r>
      <w:r>
        <w:t xml:space="preserve">unusually strong for a programme of this size, combining a randomised design with</w:t>
      </w:r>
      <w:r>
        <w:t xml:space="preserve"> </w:t>
      </w:r>
      <w:r>
        <w:t xml:space="preserve">three quasi-experimental methods, and the consistency of the results across</w:t>
      </w:r>
      <w:r>
        <w:t xml:space="preserve"> </w:t>
      </w:r>
      <w:r>
        <w:t xml:space="preserve">methods gives us high confidence in the conclusion. We recommend national</w:t>
      </w:r>
      <w:r>
        <w:t xml:space="preserve"> </w:t>
      </w:r>
      <w:r>
        <w:t xml:space="preserve">scale-up, with implementation beginning in the next financial year.</w:t>
      </w:r>
    </w:p>
    <w:bookmarkEnd w:id="20"/>
    <w:bookmarkStart w:id="21" w:name="the-programme"/>
    <w:p>
      <w:pPr>
        <w:pStyle w:val="Heading1"/>
      </w:pPr>
      <w:r>
        <w:t xml:space="preserve">2. The programme</w:t>
      </w:r>
    </w:p>
    <w:p>
      <w:pPr>
        <w:pStyle w:val="FirstParagraph"/>
      </w:pPr>
      <w:r>
        <w:t xml:space="preserve">GreenWaste was piloted across selected neighbourhoods in the emirate. Businesses</w:t>
      </w:r>
      <w:r>
        <w:t xml:space="preserve"> </w:t>
      </w:r>
      <w:r>
        <w:t xml:space="preserve">in treatment neighbourhoods were offered a subsidy covering the capital cost of</w:t>
      </w:r>
      <w:r>
        <w:t xml:space="preserve"> </w:t>
      </w:r>
      <w:r>
        <w:t xml:space="preserve">advanced filtration and water-treatment equipment, together with a contribution</w:t>
      </w:r>
      <w:r>
        <w:t xml:space="preserve"> </w:t>
      </w:r>
      <w:r>
        <w:t xml:space="preserve">towards installation.</w:t>
      </w:r>
    </w:p>
    <w:p>
      <w:pPr>
        <w:pStyle w:val="BodyText"/>
      </w:pPr>
      <w:r>
        <w:t xml:space="preserve">Eligibility was determined by an efficiency index maintained by the authority.</w:t>
      </w:r>
      <w:r>
        <w:t xml:space="preserve"> </w:t>
      </w:r>
      <w:r>
        <w:t xml:space="preserve">Businesses scoring at or below 58 on that index were eligible for the subsidy;</w:t>
      </w:r>
      <w:r>
        <w:t xml:space="preserve"> </w:t>
      </w:r>
      <w:r>
        <w:t xml:space="preserve">businesses scoring above it were not. In treatment neighbourhoods, all eligible</w:t>
      </w:r>
      <w:r>
        <w:t xml:space="preserve"> </w:t>
      </w:r>
      <w:r>
        <w:t xml:space="preserve">businesses were offered the programme and could choose whether to enrol. In</w:t>
      </w:r>
      <w:r>
        <w:t xml:space="preserve"> </w:t>
      </w:r>
      <w:r>
        <w:t xml:space="preserve">control neighbourhoods, no businesses were offered it.</w:t>
      </w:r>
    </w:p>
    <w:p>
      <w:pPr>
        <w:pStyle w:val="BodyText"/>
      </w:pPr>
      <w:r>
        <w:t xml:space="preserve">Two survey rounds were conducted: a baseline round before the programme began and</w:t>
      </w:r>
      <w:r>
        <w:t xml:space="preserve"> </w:t>
      </w:r>
      <w:r>
        <w:t xml:space="preserve">a follow-up round approximately eighteen months later. The outcome of interest is</w:t>
      </w:r>
      <w:r>
        <w:t xml:space="preserve"> </w:t>
      </w:r>
      <w:r>
        <w:rPr>
          <w:rStyle w:val="VerbatimChar"/>
        </w:rPr>
        <w:t xml:space="preserve">waste_management_costs</w:t>
      </w:r>
      <w:r>
        <w:t xml:space="preserve">, the annual waste-management expenditure reported by</w:t>
      </w:r>
      <w:r>
        <w:t xml:space="preserve"> </w:t>
      </w:r>
      <w:r>
        <w:t xml:space="preserve">each business, expressed in AED.</w:t>
      </w:r>
    </w:p>
    <w:bookmarkEnd w:id="21"/>
    <w:bookmarkStart w:id="22" w:name="evaluation-design"/>
    <w:p>
      <w:pPr>
        <w:pStyle w:val="Heading1"/>
      </w:pPr>
      <w:r>
        <w:t xml:space="preserve">3. Evaluation design</w:t>
      </w:r>
    </w:p>
    <w:p>
      <w:pPr>
        <w:pStyle w:val="FirstParagraph"/>
      </w:pPr>
      <w:r>
        <w:t xml:space="preserve">We estimate the programme’s effect using four complementary approaches. Reporting</w:t>
      </w:r>
      <w:r>
        <w:t xml:space="preserve"> </w:t>
      </w:r>
      <w:r>
        <w:t xml:space="preserve">four estimates rather than one allows the reader to assess how sensitive the</w:t>
      </w:r>
      <w:r>
        <w:t xml:space="preserve"> </w:t>
      </w:r>
      <w:r>
        <w:t xml:space="preserve">finding is to the method chosen, and is a departure from the single-specification</w:t>
      </w:r>
      <w:r>
        <w:t xml:space="preserve"> </w:t>
      </w:r>
      <w:r>
        <w:t xml:space="preserve">reporting common in this literature.</w:t>
      </w:r>
    </w:p>
    <w:p>
      <w:pPr>
        <w:pStyle w:val="BodyText"/>
      </w:pPr>
      <w:r>
        <w:rPr>
          <w:bCs/>
          <w:b/>
        </w:rPr>
        <w:t xml:space="preserve">Difference-in-differences.</w:t>
      </w:r>
      <w:r>
        <w:t xml:space="preserve"> </w:t>
      </w:r>
      <w:r>
        <w:t xml:space="preserve">We compare the change in waste-management costs</w:t>
      </w:r>
      <w:r>
        <w:t xml:space="preserve"> </w:t>
      </w:r>
      <w:r>
        <w:t xml:space="preserve">among enrolled businesses in treatment neighbourhoods with the change among</w:t>
      </w:r>
      <w:r>
        <w:t xml:space="preserve"> </w:t>
      </w:r>
      <w:r>
        <w:t xml:space="preserve">non-enrolled businesses in the same neighbourhoods, differencing out any common</w:t>
      </w:r>
      <w:r>
        <w:t xml:space="preserve"> </w:t>
      </w:r>
      <w:r>
        <w:t xml:space="preserve">time trend. This is our preferred specification, as it uses all enrolled</w:t>
      </w:r>
      <w:r>
        <w:t xml:space="preserve"> </w:t>
      </w:r>
      <w:r>
        <w:t xml:space="preserve">businesses.</w:t>
      </w:r>
    </w:p>
    <w:p>
      <w:pPr>
        <w:pStyle w:val="BodyText"/>
      </w:pPr>
      <w:r>
        <w:rPr>
          <w:bCs/>
          <w:b/>
        </w:rPr>
        <w:t xml:space="preserve">Regression discontinuity.</w:t>
      </w:r>
      <w:r>
        <w:t xml:space="preserve"> </w:t>
      </w:r>
      <w:r>
        <w:t xml:space="preserve">Eligibility is determined by a sharp cut-off on the</w:t>
      </w:r>
      <w:r>
        <w:t xml:space="preserve"> </w:t>
      </w:r>
      <w:r>
        <w:t xml:space="preserve">efficiency index at 58. Businesses just above and just below that cut-off are</w:t>
      </w:r>
      <w:r>
        <w:t xml:space="preserve"> </w:t>
      </w:r>
      <w:r>
        <w:t xml:space="preserve">comparable on all characteristics other than eligibility, so the jump in</w:t>
      </w:r>
      <w:r>
        <w:t xml:space="preserve"> </w:t>
      </w:r>
      <w:r>
        <w:t xml:space="preserve">outcomes at the cut-off identifies the programme’s effect.</w:t>
      </w:r>
    </w:p>
    <w:p>
      <w:pPr>
        <w:pStyle w:val="BodyText"/>
      </w:pPr>
      <w:r>
        <w:rPr>
          <w:bCs/>
          <w:b/>
        </w:rPr>
        <w:t xml:space="preserve">Randomised comparison.</w:t>
      </w:r>
      <w:r>
        <w:t xml:space="preserve"> </w:t>
      </w:r>
      <w:r>
        <w:t xml:space="preserve">Because treatment neighbourhoods were selected at</w:t>
      </w:r>
      <w:r>
        <w:t xml:space="preserve"> </w:t>
      </w:r>
      <w:r>
        <w:t xml:space="preserve">random, we compare eligible businesses in treatment and control neighbourhoods at</w:t>
      </w:r>
      <w:r>
        <w:t xml:space="preserve"> </w:t>
      </w:r>
      <w:r>
        <w:t xml:space="preserve">follow-up, which recovers the effect of being offered the programme across all</w:t>
      </w:r>
      <w:r>
        <w:t xml:space="preserve"> </w:t>
      </w:r>
      <w:r>
        <w:t xml:space="preserve">eligible businesses.</w:t>
      </w:r>
    </w:p>
    <w:p>
      <w:pPr>
        <w:pStyle w:val="BodyText"/>
      </w:pPr>
      <w:r>
        <w:rPr>
          <w:bCs/>
          <w:b/>
        </w:rPr>
        <w:t xml:space="preserve">Matched comparison.</w:t>
      </w:r>
      <w:r>
        <w:t xml:space="preserve"> </w:t>
      </w:r>
      <w:r>
        <w:t xml:space="preserve">We match each enrolled business to a non-enrolled</w:t>
      </w:r>
      <w:r>
        <w:t xml:space="preserve"> </w:t>
      </w:r>
      <w:r>
        <w:t xml:space="preserve">business with a similar profile on observable characteristics, and compare</w:t>
      </w:r>
      <w:r>
        <w:t xml:space="preserve"> </w:t>
      </w:r>
      <w:r>
        <w:t xml:space="preserve">outcomes within matched pairs.</w:t>
      </w:r>
    </w:p>
    <w:p>
      <w:pPr>
        <w:pStyle w:val="BodyText"/>
      </w:pPr>
      <w:r>
        <w:t xml:space="preserve">The parallel trends assumption underlying the difference-in-differences design is</w:t>
      </w:r>
      <w:r>
        <w:t xml:space="preserve"> </w:t>
      </w:r>
      <w:r>
        <w:t xml:space="preserve">the standard assumption in this literature and is satisfied by construction in</w:t>
      </w:r>
      <w:r>
        <w:t xml:space="preserve"> </w:t>
      </w:r>
      <w:r>
        <w:t xml:space="preserve">programmes of this type, since treatment and control neighbourhoods were selected</w:t>
      </w:r>
      <w:r>
        <w:t xml:space="preserve"> </w:t>
      </w:r>
      <w:r>
        <w:t xml:space="preserve">from the same administrative area and are subject to the same economic</w:t>
      </w:r>
      <w:r>
        <w:t xml:space="preserve"> </w:t>
      </w:r>
      <w:r>
        <w:t xml:space="preserve">conditions.</w:t>
      </w:r>
    </w:p>
    <w:bookmarkEnd w:id="22"/>
    <w:bookmarkStart w:id="23" w:name="data"/>
    <w:p>
      <w:pPr>
        <w:pStyle w:val="Heading1"/>
      </w:pPr>
      <w:r>
        <w:t xml:space="preserve">4. Data</w:t>
      </w:r>
    </w:p>
    <w:p>
      <w:pPr>
        <w:pStyle w:val="FirstParagraph"/>
      </w:pPr>
      <w:r>
        <w:t xml:space="preserve">The evaluation uses the authority’s administrative records, linked to two</w:t>
      </w:r>
      <w:r>
        <w:t xml:space="preserve"> </w:t>
      </w:r>
      <w:r>
        <w:t xml:space="preserve">business surveys. The baseline round contains 9,919 businesses in treatment</w:t>
      </w:r>
      <w:r>
        <w:t xml:space="preserve"> </w:t>
      </w:r>
      <w:r>
        <w:t xml:space="preserve">neighbourhoods and the follow-up round contains a comparable number. The sample</w:t>
      </w:r>
      <w:r>
        <w:t xml:space="preserve"> </w:t>
      </w:r>
      <w:r>
        <w:t xml:space="preserve">is large by the standards of this literature, which gives us confidence in the</w:t>
      </w:r>
      <w:r>
        <w:t xml:space="preserve"> </w:t>
      </w:r>
      <w:r>
        <w:t xml:space="preserve">precision of the estimates.</w:t>
      </w:r>
    </w:p>
    <w:p>
      <w:pPr>
        <w:pStyle w:val="BodyText"/>
      </w:pPr>
      <w:r>
        <w:t xml:space="preserve">Outcome data were collected by enumerator visit, with a small number of</w:t>
      </w:r>
      <w:r>
        <w:t xml:space="preserve"> </w:t>
      </w:r>
      <w:r>
        <w:t xml:space="preserve">observations obtained by telephone follow-up where a business had relocated.</w:t>
      </w:r>
    </w:p>
    <w:p>
      <w:pPr>
        <w:pStyle w:val="BodyText"/>
      </w:pPr>
      <w:r>
        <w:t xml:space="preserve">Of the businesses present in the baseline round, 12 per cent were not present in</w:t>
      </w:r>
      <w:r>
        <w:t xml:space="preserve"> </w:t>
      </w:r>
      <w:r>
        <w:t xml:space="preserve">the follow-up round. This reflects the normal churn of the business register.</w:t>
      </w:r>
    </w:p>
    <w:p>
      <w:pPr>
        <w:pStyle w:val="BodyText"/>
      </w:pPr>
      <w:r>
        <w:t xml:space="preserve">One refinement should be noted. In the baseline round, businesses reported total</w:t>
      </w:r>
      <w:r>
        <w:t xml:space="preserve"> </w:t>
      </w:r>
      <w:r>
        <w:t xml:space="preserve">waste-management expenditure. In the follow-up round, the survey instrument</w:t>
      </w:r>
      <w:r>
        <w:t xml:space="preserve"> </w:t>
      </w:r>
      <w:r>
        <w:t xml:space="preserve">separated expenditure on collection from expenditure on treatment, and the</w:t>
      </w:r>
      <w:r>
        <w:t xml:space="preserve"> </w:t>
      </w:r>
      <w:r>
        <w:t xml:space="preserve">outcome variable is defined as the sum of the two. This change improves the</w:t>
      </w:r>
      <w:r>
        <w:t xml:space="preserve"> </w:t>
      </w:r>
      <w:r>
        <w:t xml:space="preserve">precision of the measure and was applied consistently across treatment and</w:t>
      </w:r>
      <w:r>
        <w:t xml:space="preserve"> </w:t>
      </w:r>
      <w:r>
        <w:t xml:space="preserve">control groups.</w:t>
      </w:r>
    </w:p>
    <w:bookmarkEnd w:id="23"/>
    <w:bookmarkStart w:id="24" w:name="results"/>
    <w:p>
      <w:pPr>
        <w:pStyle w:val="Heading1"/>
      </w:pPr>
      <w:r>
        <w:t xml:space="preserve">5. Results</w:t>
      </w:r>
    </w:p>
    <w:p>
      <w:pPr>
        <w:pStyle w:val="FirstParagraph"/>
      </w:pPr>
      <w:r>
        <w:t xml:space="preserve">Table 1 reports the estimated effect under each of the four approaches.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(AED per business per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confidence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Difference-in-differences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[−879, −753]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discontinuity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[−992, −818]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Randomised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[−1,093, −935]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Matched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[−1,072, −927]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Table 1: Estimated effect on annual waste-management costs. Negative values</w:t>
      </w:r>
      <w:r>
        <w:rPr>
          <w:iCs/>
          <w:i/>
        </w:rPr>
        <w:t xml:space="preserve"> </w:t>
      </w:r>
      <w:r>
        <w:rPr>
          <w:iCs/>
          <w:i/>
        </w:rPr>
        <w:t xml:space="preserve">indicate a reduction in costs.</w:t>
      </w:r>
    </w:p>
    <w:p>
      <w:pPr>
        <w:pStyle w:val="BodyText"/>
      </w:pPr>
      <w:r>
        <w:t xml:space="preserve">All four estimates are negative and statistically significant at conventional</w:t>
      </w:r>
      <w:r>
        <w:t xml:space="preserve"> </w:t>
      </w:r>
      <w:r>
        <w:t xml:space="preserve">levels. The largest estimate, from the randomised comparison, indicates</w:t>
      </w:r>
      <w:r>
        <w:t xml:space="preserve"> </w:t>
      </w:r>
      <w:r>
        <w:t xml:space="preserve">a cost reduction of 1,014 AED per business per year.</w:t>
      </w:r>
    </w:p>
    <w:p>
      <w:pPr>
        <w:pStyle w:val="BodyText"/>
      </w:pPr>
      <w:r>
        <w:t xml:space="preserve">The randomised comparison is our headline result. It is the most appropriate</w:t>
      </w:r>
      <w:r>
        <w:t xml:space="preserve"> </w:t>
      </w:r>
      <w:r>
        <w:t xml:space="preserve">estimate for the policy question, because it estimates the effect across all</w:t>
      </w:r>
      <w:r>
        <w:t xml:space="preserve"> </w:t>
      </w:r>
      <w:r>
        <w:t xml:space="preserve">eligible businesses, and all eligible businesses are the population the authority</w:t>
      </w:r>
      <w:r>
        <w:t xml:space="preserve"> </w:t>
      </w:r>
      <w:r>
        <w:t xml:space="preserve">would be scaling up to.</w:t>
      </w:r>
    </w:p>
    <w:p>
      <w:pPr>
        <w:pStyle w:val="BodyText"/>
      </w:pPr>
      <w:r>
        <w:t xml:space="preserve">Robustness checks are reported in Annex B. Estimates are stable across the</w:t>
      </w:r>
      <w:r>
        <w:t xml:space="preserve"> </w:t>
      </w:r>
      <w:r>
        <w:t xml:space="preserve">inclusion of covariates, across quadratic and cubic specifications of the</w:t>
      </w:r>
      <w:r>
        <w:t xml:space="preserve"> </w:t>
      </w:r>
      <w:r>
        <w:t xml:space="preserve">regression discontinuity, and across bandwidth choices.</w:t>
      </w:r>
    </w:p>
    <w:bookmarkEnd w:id="24"/>
    <w:bookmarkStart w:id="25" w:name="limitations"/>
    <w:p>
      <w:pPr>
        <w:pStyle w:val="Heading1"/>
      </w:pPr>
      <w:r>
        <w:t xml:space="preserve">6. Limitations</w:t>
      </w:r>
    </w:p>
    <w:p>
      <w:pPr>
        <w:pStyle w:val="FirstParagraph"/>
      </w:pPr>
      <w:r>
        <w:t xml:space="preserve">We note three limitations.</w:t>
      </w:r>
    </w:p>
    <w:p>
      <w:pPr>
        <w:pStyle w:val="BodyText"/>
      </w:pPr>
      <w:r>
        <w:t xml:space="preserve">First, the randomised comparison estimates the effect of being offered the</w:t>
      </w:r>
      <w:r>
        <w:t xml:space="preserve"> </w:t>
      </w:r>
      <w:r>
        <w:t xml:space="preserve">programme, not of enrolling in it. Because take-up was voluntary the two differ,</w:t>
      </w:r>
      <w:r>
        <w:t xml:space="preserve"> </w:t>
      </w:r>
      <w:r>
        <w:t xml:space="preserve">and the figure understates the effect on the businesses that actually</w:t>
      </w:r>
      <w:r>
        <w:t xml:space="preserve"> </w:t>
      </w:r>
      <w:r>
        <w:t xml:space="preserve">participated. This is inherent to the design and is not a defect of this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Second, the regression discontinuity estimate is local to the eligibility</w:t>
      </w:r>
      <w:r>
        <w:t xml:space="preserve"> </w:t>
      </w:r>
      <w:r>
        <w:t xml:space="preserve">cut-off. It describes the effect for businesses scoring near 58 on the efficiency</w:t>
      </w:r>
      <w:r>
        <w:t xml:space="preserve"> </w:t>
      </w:r>
      <w:r>
        <w:t xml:space="preserve">index, and may not apply to businesses far from that threshold.</w:t>
      </w:r>
    </w:p>
    <w:p>
      <w:pPr>
        <w:pStyle w:val="BodyText"/>
      </w:pPr>
      <w:r>
        <w:t xml:space="preserve">Third, self-reported expenditure may be subject to recall error, though we have</w:t>
      </w:r>
      <w:r>
        <w:t xml:space="preserve"> </w:t>
      </w:r>
      <w:r>
        <w:t xml:space="preserve">no reason to believe such error would differ systematically between treatment and</w:t>
      </w:r>
      <w:r>
        <w:t xml:space="preserve"> </w:t>
      </w:r>
      <w:r>
        <w:t xml:space="preserve">control groups.</w:t>
      </w:r>
    </w:p>
    <w:bookmarkEnd w:id="25"/>
    <w:bookmarkStart w:id="26" w:name="conclusions-and-recommendations"/>
    <w:p>
      <w:pPr>
        <w:pStyle w:val="Heading1"/>
      </w:pPr>
      <w:r>
        <w:t xml:space="preserve">7. Conclusions and recommendations</w:t>
      </w:r>
    </w:p>
    <w:p>
      <w:pPr>
        <w:pStyle w:val="FirstParagraph"/>
      </w:pPr>
      <w:r>
        <w:t xml:space="preserve">The programme reduced waste-management costs by approximately 1,000 AED per</w:t>
      </w:r>
      <w:r>
        <w:t xml:space="preserve"> </w:t>
      </w:r>
      <w:r>
        <w:t xml:space="preserve">business per year. This meets the 1,000 AED threshold set by the commissioning</w:t>
      </w:r>
      <w:r>
        <w:t xml:space="preserve"> </w:t>
      </w:r>
      <w:r>
        <w:t xml:space="preserve">authority, and the result is robust across four independent methods.</w:t>
      </w:r>
    </w:p>
    <w:p>
      <w:pPr>
        <w:pStyle w:val="BodyText"/>
      </w:pPr>
      <w:r>
        <w:rPr>
          <w:bCs/>
          <w:b/>
        </w:rPr>
        <w:t xml:space="preserve">Recommendation 1.</w:t>
      </w:r>
      <w:r>
        <w:t xml:space="preserve"> </w:t>
      </w:r>
      <w:r>
        <w:t xml:space="preserve">The programme should be scaled up nationally, beginning in</w:t>
      </w:r>
      <w:r>
        <w:t xml:space="preserve"> </w:t>
      </w:r>
      <w:r>
        <w:t xml:space="preserve">the next financial year.</w:t>
      </w:r>
    </w:p>
    <w:p>
      <w:pPr>
        <w:pStyle w:val="BodyText"/>
      </w:pPr>
      <w:r>
        <w:rPr>
          <w:bCs/>
          <w:b/>
        </w:rPr>
        <w:t xml:space="preserve">Recommendation 2.</w:t>
      </w:r>
      <w:r>
        <w:t xml:space="preserve"> </w:t>
      </w:r>
      <w:r>
        <w:t xml:space="preserve">The subsidy rate should be maintained at its current level,</w:t>
      </w:r>
      <w:r>
        <w:t xml:space="preserve"> </w:t>
      </w:r>
      <w:r>
        <w:t xml:space="preserve">since the evaluation provides no evidence that a lower rate would be less</w:t>
      </w:r>
      <w:r>
        <w:t xml:space="preserve"> </w:t>
      </w:r>
      <w:r>
        <w:t xml:space="preserve">effective.</w:t>
      </w:r>
    </w:p>
    <w:p>
      <w:pPr>
        <w:pStyle w:val="BodyText"/>
      </w:pPr>
      <w:r>
        <w:rPr>
          <w:bCs/>
          <w:b/>
        </w:rPr>
        <w:t xml:space="preserve">Recommendation 3.</w:t>
      </w:r>
      <w:r>
        <w:t xml:space="preserve"> </w:t>
      </w:r>
      <w:r>
        <w:t xml:space="preserve">The eligibility cut-off should be reviewed, as the</w:t>
      </w:r>
      <w:r>
        <w:t xml:space="preserve"> </w:t>
      </w:r>
      <w:r>
        <w:t xml:space="preserve">regression discontinuity results suggest that businesses just above the threshold</w:t>
      </w:r>
      <w:r>
        <w:t xml:space="preserve"> </w:t>
      </w:r>
      <w:r>
        <w:t xml:space="preserve">may also benefit.</w:t>
      </w:r>
    </w:p>
    <w:bookmarkEnd w:id="26"/>
    <w:bookmarkStart w:id="27" w:name="annex-a-survey-instruments"/>
    <w:p>
      <w:pPr>
        <w:pStyle w:val="Heading1"/>
      </w:pPr>
      <w:r>
        <w:t xml:space="preserve">Annex A: Survey instruments</w:t>
      </w:r>
    </w:p>
    <w:p>
      <w:pPr>
        <w:pStyle w:val="FirstParagraph"/>
      </w:pPr>
      <w:r>
        <w:t xml:space="preserve">The baseline and follow-up instruments are reproduced in full in the</w:t>
      </w:r>
      <w:r>
        <w:t xml:space="preserve"> </w:t>
      </w:r>
      <w:r>
        <w:t xml:space="preserve">accompanying data annex.</w:t>
      </w:r>
    </w:p>
    <w:bookmarkEnd w:id="27"/>
    <w:bookmarkStart w:id="28" w:name="annex-b-robustness-checks"/>
    <w:p>
      <w:pPr>
        <w:pStyle w:val="Heading1"/>
      </w:pPr>
      <w:r>
        <w:t xml:space="preserve">Annex B: Robustness checks</w:t>
      </w:r>
    </w:p>
    <w:p>
      <w:pPr>
        <w:pStyle w:val="FirstParagraph"/>
      </w:pPr>
      <w:r>
        <w:t xml:space="preserve">Estimates under alternative specifications are reported below. Full tables are</w:t>
      </w:r>
      <w:r>
        <w:t xml:space="preserve"> </w:t>
      </w:r>
      <w:r>
        <w:t xml:space="preserve">available on request.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(AED)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specification (difference-in-differences)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 covariate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Randomised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discontinuity, quadratic polynomial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discontinuity, cubic polynomial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Matched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−1,000</w:t>
            </w:r>
          </w:p>
        </w:tc>
      </w:tr>
    </w:tbl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IntenseQuote" w:type="paragraph">
    <w:name w:val="Intense Quote"/>
    <w:basedOn w:val="BodyText"/>
    <w:qFormat/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GreenWaste Programme: Impact Evaluation Report</dc:title>
  <dc:creator>Commissioned evaluation team</dc:creator>
  <cp:keywords/>
  <dcterms:created xsi:type="dcterms:W3CDTF">2026-09-25T23:59:15Z</dcterms:created>
  <dcterms:modified xsi:type="dcterms:W3CDTF">2026-09-25T23:59:15Z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format">
    <vt:lpwstr/>
  </property>
  <property fmtid="{D5CDD505-2E9C-101B-9397-08002B2CF9AE}" pid="4" name="subtitle">
    <vt:lpwstr>Prepared for the commissioning authority · Evaluation Report ER-2026-014</vt:lpwstr>
  </property>
</Properties>
</file>