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B7 Day 1 B7 Session 3</w:t>
      </w:r>
    </w:p>
    <w:p>
      <w:pPr>
        <w:pStyle w:val="Title"/>
      </w:pPr>
      <w:r>
        <w:rPr>
          <w:rFonts w:ascii="Arial" w:hAnsi="Arial" w:eastAsia="Arial" w:cs="Arial"/>
          <w:i w:val="false"/>
          <w:b w:val="true"/>
          <w:u w:val="none"/>
          <w:strike w:val="false"/>
          <w:sz w:val="44"/>
          <w:szCs w:val="44"/>
          <w:color w:val="000000"/>
        </w:rPr>
        <w:t xml:space="preserve">Judge a fair comparison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Use the pilot trial result to write a provisional recommendation. Explain what it supports and what it leaves uncertain.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18"/>
          <w:szCs w:val="18"/>
          <w:color w:val="545860"/>
        </w:rPr>
        <w:t xml:space="preserve">Fictional GreenWaste case B7 invented figures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The pilot trial</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In one district, a lottery assigned 400 businesses to join or wait. About half joined. The trial compared their annual waste costs 12 months later.</w:t>
      </w:r>
    </w:p>
    <w:tbl xmlns:a="http://schemas.openxmlformats.org/drawingml/2006/main" xmlns:pic="http://schemas.openxmlformats.org/drawingml/2006/picture">
      <w:tblPr>
        <w:tblLayout w:type="fixed"/>
        <w:jc w:val="start"/>
        <w:tblLook w:firstRow="1" w:lastRow="0" w:firstColumn="0" w:lastColumn="0" w:noHBand="0" w:noVBand="1"/>
      </w:tblPr>
      <w:tblGrid>
        <w:gridCol w:w="2736"/>
        <w:gridCol w:w="1800"/>
        <w:gridCol w:w="3240"/>
        <w:gridCol w:w="2016"/>
      </w:tblGrid>
      <w:tr>
        <w:trPr>
          <w:trHeight w:val="360" w:hRule="auto"/>
          <w:tblHeader/>
        </w:trPr>
        header1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Result row</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Coefficient AED</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95% interval AED</w:t>
            </w:r>
          </w:p>
        </w:tc>
        <w:tc>
          <w:tcPr>
            <w:tcBorders>
              <w:bottom w:val="single" w:sz="6" w:space="0" w:color="D9D9D9"/>
              <w:top w:val="single" w:sz="6" w:space="0" w:color="D9D9D9"/>
              <w:left w:val="single" w:sz="6" w:space="0" w:color="D9D9D9"/>
              <w:right w:val="single" w:sz="6" w:space="0" w:color="D9D9D9"/>
            </w:tcBorders>
            <w:shd w:val="clear" w:color="auto" w:fill="063360"/>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true"/>
                <w:u w:val="none"/>
                <w:strike w:val="false"/>
                <w:sz w:val="24"/>
                <w:szCs w:val="24"/>
                <w:color w:val="FFFFFF"/>
              </w:rPr>
            </w:pPr>
            <w:r>
              <w:rPr>
                <w:rFonts w:ascii="Arial" w:hAnsi="Arial" w:eastAsia="Arial" w:cs="Arial"/>
                <w:i w:val="false"/>
                <w:b w:val="true"/>
                <w:u w:val="none"/>
                <w:strike w:val="false"/>
                <w:sz w:val="24"/>
                <w:szCs w:val="24"/>
                <w:color w:val="FFFFFF"/>
              </w:rPr>
              <w:t xml:space="preserve">p-value</w:t>
            </w:r>
          </w:p>
        </w:tc>
      </w:tr>
      <w:tr>
        <w:trPr>
          <w:trHeight w:val="360" w:hRule="auto"/>
        </w:trPr>
        body1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Took part (lottery)</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-1,014</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-1,167 to -862</w:t>
            </w:r>
          </w:p>
        </w:tc>
        <w:tc>
          <w:tcPr>
            <w:tcBorders>
              <w:bottom w:val="single" w:sz="6" w:space="0" w:color="D9D9D9"/>
              <w:top w:val="single" w:sz="6" w:space="0" w:color="D9D9D9"/>
              <w:left w:val="single" w:sz="6" w:space="0" w:color="D9D9D9"/>
              <w:right w:val="single" w:sz="6" w:space="0" w:color="D9D9D9"/>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40" w:before="140" w:line="240"/>
              <w:ind w:left="140" w:right="140" w:firstLine="0" w:firstLineChars="0"/>
              <w:rPr>
                <w:rFonts w:ascii="Arial" w:hAnsi="Arial" w:eastAsia="Arial" w:cs="Arial"/>
                <w:i w:val="false"/>
                <w:b w:val="false"/>
                <w:u w:val="none"/>
                <w:strike w:val="false"/>
                <w:sz w:val="24"/>
                <w:szCs w:val="24"/>
                <w:color w:val="000000"/>
              </w:rPr>
            </w:pPr>
            <w:r>
              <w:rPr>
                <w:rFonts w:ascii="Arial" w:hAnsi="Arial" w:eastAsia="Arial" w:cs="Arial"/>
                <w:i w:val="false"/>
                <w:b w:val="false"/>
                <w:u w:val="none"/>
                <w:strike w:val="false"/>
                <w:sz w:val="24"/>
                <w:szCs w:val="24"/>
                <w:color w:val="000000"/>
              </w:rPr>
              <w:t xml:space="preserve">&lt; 0.001</w:t>
            </w:r>
          </w:p>
        </w:tc>
      </w:tr>
    </w:tbl>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Decision rule: annual saving of at least 1,000 AED per business. Negative means lower costs.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1 Name the comparison</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2 Read the estimate and interval</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State the saving and explain whether it settles the decision rule.</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3 How far does this result reach</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What would you need to know before using this pilot result for the whole city?</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B7 Day 1 B7 Session 3</w:t>
      </w:r>
    </w:p>
    <w:p>
      <w:pPr>
        <w:pStyle w:val="Title"/>
      </w:pPr>
      <w:r>
        <w:rPr>
          <w:rFonts w:ascii="Arial" w:hAnsi="Arial" w:eastAsia="Arial" w:cs="Arial"/>
          <w:i w:val="false"/>
          <w:b w:val="true"/>
          <w:u w:val="none"/>
          <w:strike w:val="false"/>
          <w:sz w:val="44"/>
          <w:szCs w:val="44"/>
          <w:color w:val="000000"/>
        </w:rPr>
        <w:t xml:space="preserve">Write a decision note</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Write three or four sentences with a partner. Give the result and its comparison, a provisional recommendation, and the evidence you still need.</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Check an illustrative AI draft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8"/>
          <w:szCs w:val="28"/>
          <w:color w:val="000000"/>
        </w:rPr>
        <w:t xml:space="preserve">b</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Mark each unsupported conclusion. Rewrite it using the result sheet.</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Your question from memory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Close Sheet 1. What would you ask the evaluator, and how could the answer change your recommendation? Work alone.</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240" w:before="0" w:line="240"/>
        <w:ind w:left="0" w:right="0" w:firstLine="0" w:firstLineChars="0"/>
      </w:pPr>
      <w:r>
        <w:rPr>
          <w:rFonts w:ascii="Arial" w:hAnsi="Arial" w:eastAsia="Arial" w:cs="Arial"/>
          <w:i w:val="false"/>
          <w:b w:val="false"/>
          <w:u w:val="none"/>
          <w:strike w:val="false"/>
          <w:sz w:val="24"/>
          <w:szCs w:val="24"/>
          <w:color w:val="B5BEC9"/>
        </w:rPr>
        <w:t xml:space="preserve">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false"/>
          <w:u w:val="none"/>
          <w:strike w:val="false"/>
          <w:sz w:val="20"/>
          <w:szCs w:val="20"/>
          <w:color w:val="545860"/>
        </w:rPr>
        <w:t xml:space="preserve">GreenWaste reading workshop B7 Day 1 B7 Session 3</w:t>
      </w:r>
    </w:p>
    <w:p>
      <w:pPr>
        <w:pStyle w:val="Title"/>
      </w:pPr>
      <w:r>
        <w:rPr>
          <w:rFonts w:ascii="Arial" w:hAnsi="Arial" w:eastAsia="Arial" w:cs="Arial"/>
          <w:i w:val="false"/>
          <w:b w:val="true"/>
          <w:u w:val="none"/>
          <w:strike w:val="false"/>
          <w:sz w:val="44"/>
          <w:szCs w:val="44"/>
          <w:color w:val="000000"/>
        </w:rPr>
        <w:t xml:space="preserve">Trainer key for a fair comparison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0"/>
          <w:szCs w:val="20"/>
          <w:color w:val="000000"/>
        </w:rPr>
        <w:t xml:space="preserve">Print pages 1 and 2 double-sided, one per participant. This page is trainer only.</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Trial interpretation</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Estimated saving 1,014 AED, 95% interval 862 to 1,167. Randomly assigned pilot groups, compared after 12 months. The interval spans the 1,000 AED rule. Evidence of saving is different from certainty about reaching that rule. The district may differ from other places; programme costs are not supplied.</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The canonical pilot result uses lm(cost_after ~ took_part) and its ordinary least-squares interval in greenwaste_case.R. Assignment equals participation in this fictional pilot. In a real trial ask about follow-up, take-up, contamination and whether assignment stayed random.</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Lottery demonstration and paper fallback</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Only one short trainer demo, two draws. It redraws ten places among the first twenty pilot businesses and compares pre-programme manager ages. It demonstrates chance balance, not a new effect estimate. The groups need not be perfectly alike in any one draw.</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Ages for twenty numbered slips: 36, 39, 30, 24, 35, 39, 33, 37, 32, 45, 26, 42, 30, 38, 30, 38, 39, 35, 39, 41</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Note and AI feedback</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Accept differing provisional decisions with evidence and clear limits. The AI draftb</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true"/>
          <w:u w:val="none"/>
          <w:strike w:val="false"/>
          <w:sz w:val="28"/>
          <w:szCs w:val="28"/>
          <w:color w:val="000000"/>
        </w:rPr>
        <w:t xml:space="preserve">Delivery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false"/>
          <w:b w:val="false"/>
          <w:u w:val="none"/>
          <w:strike w:val="false"/>
          <w:sz w:val="24"/>
          <w:szCs w:val="24"/>
          <w:color w:val="000000"/>
        </w:rPr>
        <w:t xml:space="preserve">Protect the five-minute break and ten-minute paired writing task. Keep the full lab and extra sample-size simulations out of the teaching route. Total 75 minutes.</w:t>
      </w:r>
    </w:p>
    <w:sectPr>
      <w:pgMar w:header="708" w:bottom="936" w:top="936" w:right="1008" w:left="1008"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w:type="paragraph" w:styleId="Title">
    <w:name w:val="Title"/>
    <w:basedOn w:val="Normal"/>
    <w:next w:val="Normal"/>
    <w:qFormat/>
    <w:rPr>
      <w:color w:val="000000"/>
      <w:sz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2026-10-06T20:26:31Z</dcterms:modified>
  <cp:category/>
</cp:coreProperties>
</file>