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Six pairs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Each section of this session shows the same data drawn two ways. For every pair, in groups: what is this figure telling you, and what might be wrong or misleading?</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3456"/>
        <w:gridCol w:w="345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Pair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is it telling you?</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might be wrong or misleading?</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The same gap, two axes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 A bar of means, then the distributions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Biggest wins: percentage, then number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After only, then before and 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 Savings added up, then discounted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 The pie, then the counts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Predict before the reveal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Share of enrolled businesses that paid more than the average non-enrolled business:  ________ %</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pooled change in child collisions and the average of each segment's change: close, or far apart?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discount rate at which five years of savings no longer cover the 1,800 AED cost:  ________ %</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the chart that cannot be wrong</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two GreenWaste baseline figures: the same gap between enrolled and not-enrolled businesses, drawn twice.</w:t>
      </w:r>
    </w:p>
    <w:p>
      <w:pPr>
        <w:pStyle w:val="Normal"/>
      </w:pPr>
      <w:r>
        <w:rPr/>
        <w:drawing>
          <wp:inline distT="0" distB="0" distL="0" distR="0">
            <wp:extent cx="5852160" cy="23774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1280" cy="3302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Give the model both figures and this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"Which of these two charts better represents the difference between the two groups, and why?"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Both charts present the same underlying data accurately. The truncated-axis chart is often preferable for a policy audience because it makes the difference visible, and a y-axis that starts at zero is not a requirement in professional data visualisation. On balance the truncated version communicates the finding more effectively, and a reader who wants the absolute values can consult the data labels.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Four minutes. Is it wrong? Is it right? Is it answering the question that was asked? What does it explain well?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chart will sit beside the claim 'the programme reduced costs substantially'. Is the axis appropriate for that claim, for a non-technical reader?"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habits: ask the AI to ask you questions before it answers, and paste its answer into a fresh chat to check it.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rules for any figure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518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rules for any figure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Read the axis before the shape.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Ask what the bar is averaging over.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Check the denominator.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Compare changes, not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Discount the future in front of the reader.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fastest check: read the y-axis, then the sentence under the figure. Large compared to what?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Questions I will bring to the clinic:</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rules for any figure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Read the axis before the shape.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Ask what the bar is averaging over.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Check the denominator.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Compare changes, not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Discount the future in front of the reader.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fastest check: read the y-axis, then the sentence under the figure. Large compared to what?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Questions I will bring to the clinic:</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518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rules for any figure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Read the axis before the shape.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Ask what the bar is averaging over.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Check the denominator.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Compare changes, not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Discount the future in front of the reader.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fastest check: read the y-axis, then the sentence under the figure. Large compared to what?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Questions I will bring to the clinic:</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rules for any figure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Read the axis before the shape.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Ask what the bar is averaging over.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Check the denominator.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Compare changes, not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Discount the future in front of the reader.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fastest check: read the y-axis, then the sentence under the figure. Large compared to what?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Questions I will bring to the clinic:</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six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The gap is 630 AED in both figures (30% of the non-enrolled mean, 1.13 standard deviations). The truncated axis starts at 1,300, so the gap fills the frame. Cover the bars, read the axis, uncover.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The two groups overlap very little: only 7.8% of enrolled businesses paid more than the average non-enrolled business. A bar of means cannot show that.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16 of the 400 school-zone segments had no child collisions at baseline, so a percentage change is undefined for them. The largest percentage cuts come from segments that started with two to four collisions; the two top-six lists answer different questions.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4. After only, the gap is 1,447 AED. The comparison group started 630 AED worse off and its costs were rising anyway; the DiD estimate is 816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5. Added up, five years of savings reach 4,080 AED; discounted at 5%, 3,365. The 715 AED gap comes from the discount rate alone. Ratio 1.87.</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6. The slices overlap: every child collision is also an injury collision, so the percentages are wrong as drawn. The pie also pools both rounds and hides the counts (minor 12,935, injury 7,616, of which child 2,852).</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Predictions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7.8%. Pooled -32.7% against an average of -10.8% across the 384 segments with a baseline: far apart, because the pooled figure weights segments by their collisions. About 24%.</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Each sentence is accurate. The answer skips who is reading the figure and the sentence beside it: a truncated axis suits "a difference exists", not "a large difference". It never checks either picture against the number (630 AED, 1.13 standard deviations), and it does not ask who the audience is. The better prompt names both.</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910725d8387ec096e165b845f690f1ac03bccd64.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2026-09-25T19:42:28Z</dcterms:modified>
  <cp:category/>
</cp:coreProperties>
</file>