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bar for scale-up: at least 1,000 AED.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First difference: each group's change over time. It removes fixed differences between the groups, and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Second difference: the difference between those two changes. It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it clear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728"/>
        <w:gridCol w:w="1440"/>
        <w:gridCol w:w="1152"/>
        <w:gridCol w:w="273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Round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Round 2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Circle the row that is the programme's effect. Is it the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Two rows are often reported as the effect by mistake. What are they?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Round 2 is  ______________________      Enrolled is  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The least generous end of the effect's interval:  ________ AED.   Does it clear 1,000?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Costs were measured once before the programme and once after. What can this data not tell you about the two groups?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Mark every sentence you can check against the table, and every sentence the table does not support.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the claim about parallel trends survive the second prompt? Then paste the second answer into a fresh chat and ask it to check for claims about tests that were never run.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 DiD result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2026-09-25T19:42:30Z</dcterms:modified>
  <cp:category/>
</cp:coreProperties>
</file>