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GreenWaste businesses in the rest of the city: those scoring 58 or below took part, the rest did not. Average annual waste costs (AED), before and after. The decision rule for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1,432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762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2,257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2,400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First difference: each group's change over time. This change removes fixed differences between the groups, but it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Second difference: the difference between those two changes. This second subtraction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Is the saving at least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same data as a regression, the way an evaluator would report it. Each business appears twice (before and after), so standard errors are clustered by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2,257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[2,241, 2,273]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[130, 157]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-825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[-846, -804]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x Took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-813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[-834, -793]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Circle the row that is the programme's effect. Is that row's coefficient the same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Two other rows are often reported as the effect by mistake. What does each of these two rows actually measure?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After measures  __________________      Took part measures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Look at the end of the effect's confidence interval with the smallest saving:  ________ AED.  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4. Costs were measured only once before the programme and once after. Because of this, what can you not check about the two groups before the programme started?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table reports a difference-in-differences estimate. The programme reduced costs by 813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Underline the sentences that the table supports. Cross out the sentences that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With the second prompt, does the AI still claim that parallel trends were satisfied? Then paste the second answer into a new chat and ask the AI to check that answer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If you have time: a prompt that pushes the AI towards an answer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"Our DiD shows an 813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the AI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 DiD result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2026-10-06T19:28:11Z</dcterms:modified>
  <cp:category/>
</cp:coreProperties>
</file>