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1,920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3,120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1,760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2,430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2,040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820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1,940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930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2,020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2,200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3,260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3,100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2,140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2,060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1,870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620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 around 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decision against 1,000 AED change when the window is wider or narrower?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656 AED for participating businesses. Because the study uses a cut-off at an efficiency score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score of 58, estimated within 2 points either side. Most participants score well below 58,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2026-10-06T19:28:18Z</dcterms:modified>
  <cp:category/>
</cp:coreProperties>
</file>