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(8 groups), plus one green, one yellow and one red marker per group. The claim strips for the wall are at the end of this pack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1.  The GreenWaste pilot produced a clear result: waste-management costs fell by 670 AED per business,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2.  and with p &lt; 0.001 we can be confident the programme caused this reduction.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3.  Because the same businesses were measured before and after, differences between businesses are already accounted for,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4.  so the 670 AED saving can be attributed to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5.  This makes a strong case for national scale-up.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6.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and after -670: too small; costs for city businesses that did not take part rose about 148 AED, so the fall understates the effect. Took part vs did not -1,503: too big; the groups differed by -685 AED before the programme. Randomised -1,014: fair. 95% interval -1,086 to -941: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Lottery: random draws among the 400 pilot businesses start within a few dozen AED; officials picking the cheapest-to-run businesses start about 436 AED apart. 4 businesses: about ± 538 AED; 400: about ± 55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670 as the effect; the randomised estimate is about 1,014. 4. It recommends scale-up without asking what bar the programme must clear.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Setup, before the session: tape the six claim strips (last pages of this pack) down the wall in order, with space beside each strip for eight dots. Give each group one green, one yellow and one red marker (or dot stickers in the same colours). Groups mark the claims on their handout at the table, then one person per group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Expected wall: strip 1 mostly green (the fall of 670 AED is in the data). Strips 2, 4 and 5 red. Strip 3 split between yellow and green: it is half right, which is the debrief's error 2, so start the debrief there. Strip 6 green or yellow: true, but a generic caveat that cannot be monitored. Read the wall before showing the debrief slide: ask the groups that disagree on strip 3 to give their reasons.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Wall board: claim strips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set for the trainer, cut along the dashed lines; tape down the wall in order</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417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1</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The GreenWaste pilot produced a clear result: waste-management costs fell by 670 AED per business,</w:t>
            </w:r>
          </w:p>
        </w:tc>
      </w:tr>
      <w:tr>
        <w:trPr>
          <w:trHeight w:val="417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2</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and with p &lt; 0.001 we can be confident the programme caused this reduction.</w:t>
            </w:r>
          </w:p>
        </w:tc>
      </w:tr>
      <w:tr>
        <w:trPr>
          <w:trHeight w:val="417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3</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Because the same businesses were measured before and after, differences between businesses are already accounted for,</w:t>
            </w:r>
          </w:p>
        </w:tc>
      </w:tr>
      <w:tr>
        <w:trPr>
          <w:trHeight w:val="417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4</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so the 670 AED saving can be attributed to the programme.</w:t>
            </w:r>
          </w:p>
        </w:tc>
      </w:tr>
      <w:tr>
        <w:trPr>
          <w:trHeight w:val="4176"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5</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This makes a strong case for national scale-up.</w:t>
            </w:r>
          </w:p>
        </w:tc>
      </w:tr>
      <w:tr>
        <w:trPr>
          <w:trHeight w:val="4176"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4"/>
                <w:szCs w:val="24"/>
                <w:color w:val="545860"/>
              </w:rPr>
              <w:t xml:space="preserve">Claim 6</w:t>
            </w:r>
            <w:r>
              <w:rPr>
                <w:rFonts w:ascii="Arial" w:hAnsi="Arial" w:eastAsia="Arial" w:cs="Arial"/>
                <w:i w:val="false"/>
                <w:b w:val="false"/>
                <w:u w:val="none"/>
                <w:strike w:val="false"/>
                <w:sz w:val="24"/>
                <w:szCs w:val="24"/>
                <w:color w:val="545860"/>
              </w:rPr>
              <w:br/>
            </w:r>
            <w:r>
              <w:rPr>
                <w:rFonts w:ascii="Arial" w:hAnsi="Arial" w:eastAsia="Arial" w:cs="Arial"/>
                <w:i w:val="false"/>
                <w:b w:val="true"/>
                <w:u w:val="none"/>
                <w:strike w:val="false"/>
                <w:sz w:val="52"/>
                <w:szCs w:val="52"/>
                <w:color w:val="063360"/>
              </w:rPr>
              <w:t xml:space="preserve">As with any pilot, results should be monitored as the programme expands.</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2026-10-06T11:21:05Z</dcterms:modified>
  <cp:category/>
</cp:coreProperties>
</file>