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1 · Reading DiD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By hand: four numbers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single-sided: the next sheet is handed out later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GreenWaste businesses in the neighbourhoods where the programme was offered. Average annual waste-management costs (AED), before and after. The decision rule for scale-up: the programme must save at least 1,000 AED per business.</w:t>
      </w:r>
    </w:p>
    <w:tbl xmlns:a="http://schemas.openxmlformats.org/drawingml/2006/main" xmlns:pic="http://schemas.openxmlformats.org/drawingml/2006/picture">
      <w:tblPr>
        <w:tblLayout w:type="fixed"/>
        <w:jc w:val="center"/>
        <w:tblLook w:firstRow="1" w:lastRow="0" w:firstColumn="0" w:lastColumn="0" w:noHBand="0" w:noVBand="1"/>
      </w:tblPr>
      <w:tblGrid>
        <w:gridCol w:w="3744"/>
        <w:gridCol w:w="1728"/>
        <w:gridCol w:w="1728"/>
        <w:gridCol w:w="2016"/>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Before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After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Change</w:t>
            </w:r>
          </w:p>
        </w:tc>
      </w:tr>
      <w:tr>
        <w:trPr>
          <w:trHeight w:val="648"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Took part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1,449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784</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648"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Did not take part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2,079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2,230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648"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Difference of the changes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Two subtractions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First difference: each group's change over time. This change removes fixed differences between the groups, but it still contains the general time trend.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Change for "took part":  ________      Change for "did not take part":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Second difference: the difference between those two changes. This second subtraction removes the time trend and leaves the estimated effect.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Difference-in-differences = (change for "took part") minus (change for "did not") =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Is the saving at least 1,000 AED?   Yes  /  No</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1 · Reading DiD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Which row is the impact?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separate sheet; hand out at 'Running the regression', after the hand calculation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same data as a regression, the way an evaluator would report it. Standard errors are clustered by neighbourhood.</w:t>
      </w:r>
    </w:p>
    <w:tbl xmlns:a="http://schemas.openxmlformats.org/drawingml/2006/main" xmlns:pic="http://schemas.openxmlformats.org/drawingml/2006/picture">
      <w:tblPr>
        <w:tblLayout w:type="fixed"/>
        <w:jc w:val="center"/>
        <w:tblLook w:firstRow="1" w:lastRow="0" w:firstColumn="0" w:lastColumn="0" w:noHBand="0" w:noVBand="1"/>
      </w:tblPr>
      <w:tblGrid>
        <w:gridCol w:w="3312"/>
        <w:gridCol w:w="1584"/>
        <w:gridCol w:w="1440"/>
        <w:gridCol w:w="1008"/>
        <w:gridCol w:w="230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Coefficient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Std. error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p</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95% CI</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(Intercept)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2,079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&lt;0.001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[2,044, 2,114]</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After (round 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151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&lt;0.001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[79, 224]</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Enrolled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&lt;0.001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[-669, -591]</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After (round 1) x Enrolled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-816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&lt;0.001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[-881, -752]</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Circle the row that is the programme's effect. Is that row's coefficient the same number you got by hand?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2. Two other rows are often reported as the effect by mistake. What does each of these two rows actually measure?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After (round 1) measures  __________________      Enrolled measures  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3. Look at the end of the effect's confidence interval with the smallest saving:  ________ AED.   Is that saving at least 1,000 AED?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4. Costs were measured only once before the programme and once after. Because of this, what can you not check about the two groups before the programme started?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1 · Reading DiD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explaining the table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 (8 groups), plus one green, one yellow and one red marker per group. The claim strips for the wall are at the end of this pack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Paste the regression table into an AI tool with this prompt: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"Explain this regression table to a non-technical decision-maker, and say what should be checked before believing the result."</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1.  The table reports a difference-in-differences estimate.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2.  The programme reduced costs by 816 AED, and the effect is highly statistically significant (p &lt; 0.001),</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3.  so the programme was a success.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4.  The confidence interval does not include zero,</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5.  which confirms the finding is robust.</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6.  The parallel trends assumption has been satisfied.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z w:val="22"/>
          <w:szCs w:val="22"/>
          <w:color w:val="000000"/>
        </w:rPr>
        <w:t xml:space="preserve">7.  The result clears the 1,000 AED threshold required for scale-up.</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22"/>
          <w:szCs w:val="22"/>
          <w:color w:val="000000"/>
        </w:rPr>
        <w:t xml:space="preserve">Marker rules. At your table, mark each numbered claim with a coloured marker:</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z w:val="22"/>
          <w:szCs w:val="22"/>
          <w:color w:val="000000"/>
        </w:rPr>
        <w:t xml:space="preserve">    Green: the evidence supports the claim.</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z w:val="22"/>
          <w:szCs w:val="22"/>
          <w:color w:val="000000"/>
        </w:rPr>
        <w:t xml:space="preserve">    Yellow: partly true, or true but not enough to act on.</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z w:val="22"/>
          <w:szCs w:val="22"/>
          <w:color w:val="000000"/>
        </w:rPr>
        <w:t xml:space="preserve">    Red: the evidence does not support the claim.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Then one person from your group takes your colours to the claim strips on the wall and puts one dot on each strip.</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"We have a difference-in-differences table. The data has two waves only, one before and one after, so no pre-trend test is possible. The decision rule is 1,000 AED. Explain what the table supports and, separately, list what it cannot tell us.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With the second prompt, does the AI still claim that parallel trends were satisfied? Then paste the second answer into a new chat and ask the AI to check that answer for claims about tests that were never run.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If you have time: a prompt that pushes the AI towards an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"Our DiD shows an 816 AED cut in costs (p&lt;0.001). Write two sentences for the minister recommending scale-up."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Does the AI mention the 1,000 AED rule or parallel trends without being asked?</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1 · Reading DiD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questions for a DiD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312"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any evaluator presenting DiD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Which row is the estimate? Does its whole confidence interval meet our decision rule, not just exclude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periods of data before the programme? Were the two groups changing in the same way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Which comparison group was used, how was it chosen, and how did it differ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any evaluator presenting DiD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Which row is the estimate? Does its whole confidence interval meet our decision rule, not just exclude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periods of data before the programme? Were the two groups changing in the same way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Which comparison group was used, how was it chosen, and how did it differ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312"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any evaluator presenting DiD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Which row is the estimate? Does its whole confidence interval meet our decision rule, not just exclude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periods of data before the programme? Were the two groups changing in the same way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Which comparison group was used, how was it chosen, and how did it differ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any evaluator presenting DiD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Which row is the estimate? Does its whole confidence interval meet our decision rule, not just exclude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periods of data before the programme? Were the two groups changing in the same way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Which comparison group was used, how was it chosen, and how did it differ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312"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any evaluator presenting DiD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Which row is the estimate? Does its whole confidence interval meet our decision rule, not just exclude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periods of data before the programme? Were the two groups changing in the same way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Which comparison group was used, how was it chosen, and how did it differ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any evaluator presenting DiD</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Which row is the estimate? Does its whole confidence interval meet our decision rule, not just exclude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many periods of data before the programme? Were the two groups changing in the same way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Which comparison group was used, how was it chosen, and how did it differ before the programme?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1 · Reading DiD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Four numbers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Took part 1,449 to 784: change -665. Did not take part 2,079 to 2,230: change +151. Difference of the changes: -816 AED. It does not clear 1,000. Watch the sign: the comparison group went up, so the effect is bigger than the 665 fall in the top row.</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Which row is the impact?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After (round 1) x Enrolled, -816 AED: the same number as by hand. 2. After (round 1) (151) is the time trend, what happened to everyone; Enrolled (-630) is the baseline gap, how far apart the groups started. Many pick Enrolled because it is large and has the word in it. 3. 752 AED; the interval is -881 to -752, and even its most generous end (881) is short of 1,000. 4. Whether the groups were already moving in parallel: a pre-trend check needs at least two periods before the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Supported by the table: the 816 AED estimate and p &lt; 0.001. Not supported: "so the programme was a success" answers whether the effect is non-zero, not whether it clears 1,000. "Does not include zero, which confirms the finding is robust": not zero and big enough are different claims. "The parallel trends assumption has been satisfied" is the serious one: with one period before the programme it cannot be tested, so the model reported a test that was never run. "Clears the 1,000 AED threshold" is false: even the interval's most generous end is 881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With the second prompt, check whether the parallel-trends claim disappears. Supplying the constraint makes the error less likely; it does not rule it out.</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 board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Setup, before the session: tape the seven claim strips (last pages of this pack) down the wall in order, with space beside each strip for eight dots. Give each group one green, one yellow and one red marker (or dot stickers in the same colours). Groups mark the claims on their handout at the table, then one person per group puts one dot on each strip.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Expected wall: strips 1, 2 and 4 green (they are in the table). Strips 3, 5, 6 and 7 red: 3 and 5 turn "not zero" into "success" and "robust"; 7 is false. Strip 6 is the one to watch: a group that marks it green or yellow has taken a test that was never run on trust. Read the wall before showing the debrief slide and start with strip 6.</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2, Session 1 · Reading DiD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Wall board: claim strips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set for the trainer, cut along the dashed lines; tape down the wall in order</w:t>
      </w:r>
    </w:p>
    <w:tbl xmlns:a="http://schemas.openxmlformats.org/drawingml/2006/main" xmlns:pic="http://schemas.openxmlformats.org/drawingml/2006/picture">
      <w:tblPr>
        <w:tblLayout w:type="fixed"/>
        <w:jc w:val="center"/>
        <w:tblLook w:firstRow="1" w:lastRow="0" w:firstColumn="0" w:lastColumn="0" w:noHBand="0" w:noVBand="1"/>
      </w:tblPr>
      <w:tblGrid>
        <w:gridCol w:w="9792"/>
      </w:tblGrid>
      <w:tr>
        <w:trPr>
          <w:trHeight w:val="4176"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1</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The table reports a difference-in-differences estimate.</w:t>
            </w:r>
          </w:p>
        </w:tc>
      </w:tr>
      <w:tr>
        <w:trPr>
          <w:trHeight w:val="4176"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2</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The programme reduced costs by 816 AED, and the effect is highly statistically significant (p &lt; 0.001),</w:t>
            </w:r>
          </w:p>
        </w:tc>
      </w:tr>
      <w:tr>
        <w:trPr>
          <w:trHeight w:val="4176"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3</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so the programme was a success.</w:t>
            </w:r>
          </w:p>
        </w:tc>
      </w:tr>
      <w:tr>
        <w:trPr>
          <w:trHeight w:val="4176" w:hRule="atLeast"/>
        </w:trPr>
        body4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4</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The confidence interval does not include zero,</w:t>
            </w:r>
          </w:p>
        </w:tc>
      </w:tr>
      <w:tr>
        <w:trPr>
          <w:trHeight w:val="4176" w:hRule="atLeast"/>
        </w:trPr>
        body5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5</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which confirms the finding is robust.</w:t>
            </w:r>
          </w:p>
        </w:tc>
      </w:tr>
      <w:tr>
        <w:trPr>
          <w:trHeight w:val="4176" w:hRule="atLeast"/>
        </w:trPr>
        body6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6</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The parallel trends assumption has been satisfied.</w:t>
            </w:r>
          </w:p>
        </w:tc>
      </w:tr>
      <w:tr>
        <w:trPr>
          <w:trHeight w:val="4176" w:hRule="atLeast"/>
        </w:trPr>
        body7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40" w:before="240" w:line="276"/>
              <w:ind w:left="240" w:right="240" w:firstLine="0" w:firstLineChars="0"/>
            </w:pPr>
            <w:r>
              <w:rPr>
                <w:rFonts w:ascii="Arial" w:hAnsi="Arial" w:eastAsia="Arial" w:cs="Arial"/>
                <w:i w:val="false"/>
                <w:b w:val="false"/>
                <w:u w:val="none"/>
                <w:sz w:val="24"/>
                <w:szCs w:val="24"/>
                <w:color w:val="545860"/>
              </w:rPr>
              <w:t xml:space="preserve">Claim 7</w:t>
            </w:r>
            <w:r>
              <w:rPr>
                <w:rFonts w:ascii="Arial" w:hAnsi="Arial" w:eastAsia="Arial" w:cs="Arial"/>
                <w:i w:val="false"/>
                <w:b w:val="false"/>
                <w:u w:val="none"/>
                <w:sz w:val="24"/>
                <w:szCs w:val="24"/>
                <w:color w:val="545860"/>
              </w:rPr>
              <w:br/>
            </w:r>
            <w:r>
              <w:rPr>
                <w:rFonts w:ascii="Arial" w:hAnsi="Arial" w:eastAsia="Arial" w:cs="Arial"/>
                <w:i w:val="false"/>
                <w:b w:val="true"/>
                <w:u w:val="none"/>
                <w:sz w:val="52"/>
                <w:szCs w:val="52"/>
                <w:color w:val="063360"/>
              </w:rPr>
              <w:t xml:space="preserve">The result clears the 1,000 AED threshold required for scale-up.</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2026-10-06T05:49:10Z</dcterms:modified>
  <cp:category/>
</cp:coreProperties>
</file>