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1,780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870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(A)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2,490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2,400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57.22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1,790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(B)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(C)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4,010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2,830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1,370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(D)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2,120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57.26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1,510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1,030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(E)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6,420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1,660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(F)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G)</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1,330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1,720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(G)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H)</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3,020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4,010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(H)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Scorecard: can we trust the jump at 58?</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 mark each check as the trainer runs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trainer runs each check on screen. For each check, write pass, fail or unclear, and add a short note.</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Only businesses in neighbourhoods where the programme was offered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A different window around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Does the decision against 1,000 AED change when the window is wider or narrower?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1b. Placebo (fake)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jump at other cut-offs, where no rule applies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unusual crowding of businesses just below 58 (a sign that businesses changed their score to qualify)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Characteristics such as size and manager age do not jump at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Who does the result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Are the businesses near 58 like the businesses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Overall: would you act on this estimate?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Underline every claim that the study supports. Cross out every claim that the study does not support. What important information did the AI's answer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this prompt. Which businesses does the new answer say the result applies to? Then paste the answer into a new chat and ask the AI to check that answer for claims the study does 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five questions for an RDD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60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60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jump by hand</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2016"/>
        <w:gridCol w:w="2016"/>
        <w:gridCol w:w="172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Card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Below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Above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Jump</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722</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-1,237</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1,768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-1,108</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853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-1,257</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2,055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-172</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782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1,632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-850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F</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2,552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-1,742</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-438</w:t>
            </w:r>
          </w:p>
        </w:tc>
      </w:tr>
      <w:tr>
        <w:trPr>
          <w:trHeight w:val="360" w:hRule="auto"/>
        </w:trPr>
        body8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1,828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15</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Groups put their jumps on the wall number line. They spread widely because six businesses a side is too few; the regression uses the 773 businesses within two points and reports an interval (-791, from -1,084 to -498). The rough gap is also inflated by the slope of costs along the index, which the regression removes.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Number line board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Setup, before the session: a strip of paper about 2 m long on the wall, with a line marked from -2,000 to +500 AED in steps of 500 (signs at the end of this pack). Mark the decision rule at -1,000 AED in red and label it "The rule: 1,000 AED". Each group needs one sticky note and a marker. The eight jumps run from -1,742 to 15; their average is -849.</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After the groups have posted, press Run. Then add the regression to the wall: a star at -791 and a piece of coloured tape (or a marker line) from -1,084 to -498 for its interval. Ask: how many of the sticky notes fall inside the interval? Which side of the rule is most of the interval on? Card H goes the wrong way: six businesses a side can point anywhere.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Scorecard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0: pass only with the offered neighbourhoods (pooling every neighbourhood waters the jump down to about -249). 1: the estimate moves between about 790 and 1,120; the least generous end never reaches 1,000 (verdict: does not clear). 1b: pass. 2: pass. 3: FAIL, manager age is 5 to 9 years younger just below the line at every window. 4: the 773 businesses near the line are smaller than the rest.</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Wrong: 'applies to all businesses', 'generalises to the wider population', 'basis for scaling to every business'. The estimate is local to the line. Left out: the manager-age jump, and the 1,000 AED rule.</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Wall board: number line signs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set for the trainer, cut along the dashed lines; tape along the line at equal spacing</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194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72"/>
                <w:szCs w:val="72"/>
                <w:color w:val="063360"/>
              </w:rPr>
              <w:t xml:space="preserve">-2,000</w:t>
            </w:r>
          </w:p>
        </w:tc>
      </w:tr>
      <w:tr>
        <w:trPr>
          <w:trHeight w:val="194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72"/>
                <w:szCs w:val="72"/>
                <w:color w:val="063360"/>
              </w:rPr>
              <w:t xml:space="preserve">-1,500</w:t>
            </w:r>
          </w:p>
        </w:tc>
      </w:tr>
      <w:tr>
        <w:trPr>
          <w:trHeight w:val="194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72"/>
                <w:szCs w:val="72"/>
                <w:color w:val="063360"/>
              </w:rPr>
              <w:t xml:space="preserve">-1,000  The rule</w:t>
            </w:r>
          </w:p>
        </w:tc>
      </w:tr>
      <w:tr>
        <w:trPr>
          <w:trHeight w:val="1944"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72"/>
                <w:szCs w:val="72"/>
                <w:color w:val="063360"/>
              </w:rPr>
              <w:t xml:space="preserve">-500</w:t>
            </w:r>
          </w:p>
        </w:tc>
      </w:tr>
      <w:tr>
        <w:trPr>
          <w:trHeight w:val="1944" w:hRule="atLeast"/>
        </w:trPr>
        body5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72"/>
                <w:szCs w:val="72"/>
                <w:color w:val="063360"/>
              </w:rPr>
              <w:t xml:space="preserve">0</w:t>
            </w:r>
          </w:p>
        </w:tc>
      </w:tr>
      <w:tr>
        <w:trPr>
          <w:trHeight w:val="1944" w:hRule="atLeast"/>
        </w:trPr>
        body6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72"/>
                <w:szCs w:val="72"/>
                <w:color w:val="063360"/>
              </w:rPr>
              <w:t xml:space="preserve">+500</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2026-10-06T05:49:06Z</dcterms:modified>
  <cp:category/>
</cp:coreProperties>
</file>