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GreenWaste businesses in the neighbourhoods where the programme was offered. Average annual waste-management costs (AED), before and after. The decision rule for scale-up: the programme must save at least 1,000 AED per business.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44"/>
        <w:gridCol w:w="1728"/>
        <w:gridCol w:w="1728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Before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After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64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1,449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784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not take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2,230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Difference of the changes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Two subtractions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First difference: each group's change over time. This change removes fixed differences between the groups, but it still contains the general time trend.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Change for "took part":  ________      Change for "did not take part":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Second difference: the difference between those two changes. This second subtraction removes the time trend and leaves the estimated effect.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Difference-in-differences = (change for "took part") minus (change for "did not") =  ________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Is the saving at least 1,000 AED?   Yes  /  No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same data as a regression, the way an evaluator would report it. Standard errors are clustered by neighbourhood.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584"/>
        <w:gridCol w:w="1440"/>
        <w:gridCol w:w="1008"/>
        <w:gridCol w:w="230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Std. error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[2,044, 2,114]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After (round 1)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151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[79, 224]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-630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[-669, -591]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After (round 1) x 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-816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[-881, -752]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Circle the row that is the programme's effect. Is that row's coefficient the same number you got by hand?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2. Two other rows are often reported as the effect by mistake. What does each of these two rows actually measure?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After (round 1) measures  __________________      Enrolled measures 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3. Look at the end of the effect's confidence interval with the smallest saving:  ________ AED.   Is that saving at least 1,000 AED?   Yes  /  No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4. Costs were measured only once before the programme and once after. Because of this, what can you not check about the two groups before the programme started?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AI Snapshot: explaining the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Paste the regression table into an AI tool with this prompt: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"Explain this regression table to a non-technical decision-maker, and say what should be checked before believing the result."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 The table reports a difference-in-differences estimate.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2.  The programme reduced costs by 816 AED, and the effect is highly statistically significant (p &lt; 0.001),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3.  so the programme was a success.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4.  The confidence interval does not include zero,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5.  which confirms the finding is robust.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6.  The parallel trends assumption has been satisfied.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7.  The result clears the 1,000 AED threshold required for scale-up.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Marker rules. At your table, mark each numbered claim with a coloured marker: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    Green: the evidence supports the claim.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    Yellow: partly true, or true but not enough to act on.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    Red: the evidence does not support the claim.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Then one person from your group takes your colours to the claim strips on the wall and puts one dot on each strip.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Then run this prompt instead, and compare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"We have a difference-in-differences table. The data has two waves only, one before and one after, so no pre-trend test is possible. The decision rule is 1,000 AED. Explain what the table supports and, separately, list what it cannot tell us.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With the second prompt, does the AI still claim that parallel trends were satisfied? Then paste the second answer into a new chat and ask the AI to check that answer for claims about tests that were never run.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If you have time: a prompt that pushes the AI towards an answer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"Our DiD shows an 816 AED cut in costs (p&lt;0.001). Write two sentences for the minister recommending scale-up."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Does the AI mention the 1,000 AED rule or parallel trends without being asked?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three questions for a DiD result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31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2026-10-06T05:49:14Z</dcterms:modified>
  <cp:category/>
</cp:coreProperties>
</file>