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Tariff Shield: Evaluation Findings</w:t>
      </w:r>
    </w:p>
    <w:p>
      <w:pPr>
        <w:pStyle w:val="Subtitle"/>
      </w:pPr>
      <w:r>
        <w:t xml:space="preserve">The findings set for the evidence-translation exercise · Module 2, Day 4 Session 2</w:t>
      </w:r>
    </w:p>
    <w:p>
      <w:pPr>
        <w:pStyle w:val="Author"/>
      </w:pPr>
      <w:r>
        <w:t xml:space="preserve">3ie</w:t>
      </w:r>
    </w:p>
    <w:p>
      <w:pPr>
        <w:pStyle w:val="FirstParagraph"/>
      </w:pPr>
      <w:r>
        <w:t xml:space="preserve">This is the evaluation you are translating. It is a</w:t>
      </w:r>
      <w:r>
        <w:t xml:space="preserve"> </w:t>
      </w:r>
      <w:r>
        <w:rPr>
          <w:b/>
          <w:bCs/>
        </w:rPr>
        <w:t xml:space="preserve">fictitious programme</w:t>
      </w:r>
      <w:r>
        <w:t xml:space="preserve">, written for</w:t>
      </w:r>
      <w:r>
        <w:t xml:space="preserve"> </w:t>
      </w:r>
      <w:r>
        <w:t xml:space="preserve">teaching. The numbers are invented.</w:t>
      </w:r>
    </w:p>
    <w:p>
      <w:pPr>
        <w:pStyle w:val="BodyText"/>
      </w:pPr>
      <w:r>
        <w:rPr>
          <w:b/>
          <w:bCs/>
        </w:rPr>
        <w:t xml:space="preserve">Programme.</w:t>
      </w:r>
      <w:r>
        <w:t xml:space="preserve"> </w:t>
      </w:r>
      <w:r>
        <w:t xml:space="preserve">Tariff Shield: A fuel-price stabilisation scheme for small freight operators.</w:t>
      </w:r>
    </w:p>
    <w:p>
      <w:pPr>
        <w:pStyle w:val="BodyText"/>
      </w:pPr>
      <w:r>
        <w:rPr>
          <w:b/>
          <w:bCs/>
        </w:rPr>
        <w:t xml:space="preserve">Where and when.</w:t>
      </w:r>
      <w:r>
        <w:t xml:space="preserve"> </w:t>
      </w:r>
      <w:r>
        <w:t xml:space="preserve">Abu Dhabi emirate, Piloted 2024–2026.</w:t>
      </w:r>
    </w:p>
    <w:p>
      <w:pPr>
        <w:pStyle w:val="BodyText"/>
      </w:pPr>
      <w:r>
        <w:rPr>
          <w:b/>
          <w:bCs/>
        </w:rPr>
        <w:t xml:space="preserve">The decision rule.</w:t>
      </w:r>
      <w:r>
        <w:t xml:space="preserve"> </w:t>
      </w:r>
      <w:r>
        <w:t xml:space="preserve">Commissioning authority’s threshold: a net saving of at least 900 AED per vehicle per year</w:t>
      </w:r>
    </w:p>
    <w:p>
      <w:pPr>
        <w:pStyle w:val="BodyText"/>
      </w:pPr>
      <w:r>
        <w:t xml:space="preserve">The evaluation was randomised and is methodologically sound. Read the six findings below,</w:t>
      </w:r>
      <w:r>
        <w:t xml:space="preserve"> </w:t>
      </w:r>
      <w:r>
        <w:t xml:space="preserve">then turn to the brief template. Do not start writing until you have read all six: the</w:t>
      </w:r>
      <w:r>
        <w:t xml:space="preserve"> </w:t>
      </w:r>
      <w:r>
        <w:t xml:space="preserve">decision depends on all six findings together, not on any one finding.</w:t>
      </w:r>
    </w:p>
    <w:bookmarkStart w:id="26" w:name="the-findings"/>
    <w:p>
      <w:pPr>
        <w:pStyle w:val="Heading1"/>
      </w:pPr>
      <w:r>
        <w:t xml:space="preserve">The findings</w:t>
      </w:r>
    </w:p>
    <w:bookmarkStart w:id="20" w:name="X43624c3e935f1d6874f3bbc8e50c743c36640a6"/>
    <w:p>
      <w:pPr>
        <w:pStyle w:val="Heading2"/>
      </w:pPr>
      <w:r>
        <w:t xml:space="preserve">Finding 1. Fuel costs fell for participating operators</w:t>
      </w:r>
    </w:p>
    <w:p>
      <w:pPr>
        <w:pStyle w:val="FirstParagraph"/>
      </w:pPr>
      <w:r>
        <w:t xml:space="preserve">Net saving of 743 AED per vehicle per year (95% CI: 690 to 796). Statistically significant at conventional levels.</w:t>
      </w:r>
    </w:p>
    <w:p>
      <w:pPr>
        <w:pStyle w:val="BodyText"/>
      </w:pPr>
      <w:r>
        <w:rPr>
          <w:i/>
          <w:iCs/>
        </w:rPr>
        <w:t xml:space="preserve">What this finding can support.</w:t>
      </w:r>
      <w:r>
        <w:t xml:space="preserve"> </w:t>
      </w:r>
      <w:r>
        <w:t xml:space="preserve">A direct, well-measured effect on the primary outcome, from a randomised allocation of the subsidy.</w:t>
      </w:r>
    </w:p>
    <w:bookmarkEnd w:id="20"/>
    <w:bookmarkStart w:id="21" w:name="X46ae6f15384981f5bc8ea0b0c09b7eebfcb6aeb"/>
    <w:p>
      <w:pPr>
        <w:pStyle w:val="Heading2"/>
      </w:pPr>
      <w:r>
        <w:t xml:space="preserve">Finding 2. The saving is real but smaller than the threshold</w:t>
      </w:r>
    </w:p>
    <w:p>
      <w:pPr>
        <w:pStyle w:val="FirstParagraph"/>
      </w:pPr>
      <w:r>
        <w:t xml:space="preserve">The commissioning authority set a threshold of 900 AED per vehicle per year. The upper bound of the confidence interval, 796 AED, lies below the threshold.</w:t>
      </w:r>
    </w:p>
    <w:p>
      <w:pPr>
        <w:pStyle w:val="BodyText"/>
      </w:pPr>
      <w:r>
        <w:rPr>
          <w:i/>
          <w:iCs/>
        </w:rPr>
        <w:t xml:space="preserve">What this finding can support.</w:t>
      </w:r>
      <w:r>
        <w:t xml:space="preserve"> </w:t>
      </w:r>
      <w:r>
        <w:t xml:space="preserve">This is the finding that decides the commissioning decision, and it is stated plainly in the evaluation.</w:t>
      </w:r>
    </w:p>
    <w:bookmarkEnd w:id="21"/>
    <w:bookmarkStart w:id="22" w:name="Xa8ae2ea204b356774c2b51531fba7ef89200957"/>
    <w:p>
      <w:pPr>
        <w:pStyle w:val="Heading2"/>
      </w:pPr>
      <w:r>
        <w:t xml:space="preserve">Finding 3. Freight rates fell slightly more for participating operators</w:t>
      </w:r>
    </w:p>
    <w:p>
      <w:pPr>
        <w:pStyle w:val="FirstParagraph"/>
      </w:pPr>
      <w:r>
        <w:t xml:space="preserve">Freight rates charged by participating operators fell by an average of 1.8%, against 0.4% among non-participants. The difference is not statistically significant (p = 0.11).</w:t>
      </w:r>
    </w:p>
    <w:p>
      <w:pPr>
        <w:pStyle w:val="BodyText"/>
      </w:pPr>
      <w:r>
        <w:rPr>
          <w:i/>
          <w:iCs/>
        </w:rPr>
        <w:t xml:space="preserve">What this finding can support.</w:t>
      </w:r>
      <w:r>
        <w:t xml:space="preserve"> </w:t>
      </w:r>
      <w:r>
        <w:t xml:space="preserve">The direction is suggestive, but the estimate is not distinguishable from zero.</w:t>
      </w:r>
    </w:p>
    <w:bookmarkEnd w:id="22"/>
    <w:bookmarkStart w:id="23" w:name="X5b7d498ee8a3d2f997fb23b8341a7a336778357"/>
    <w:p>
      <w:pPr>
        <w:pStyle w:val="Heading2"/>
      </w:pPr>
      <w:r>
        <w:t xml:space="preserve">Finding 4. Two-thirds of eligible operators did not join</w:t>
      </w:r>
    </w:p>
    <w:p>
      <w:pPr>
        <w:pStyle w:val="FirstParagraph"/>
      </w:pPr>
      <w:r>
        <w:t xml:space="preserve">34% of eligible operators enrolled. Non-participants were more likely to be small fleets and to operate on fixed public-sector contracts.</w:t>
      </w:r>
    </w:p>
    <w:p>
      <w:pPr>
        <w:pStyle w:val="BodyText"/>
      </w:pPr>
      <w:r>
        <w:rPr>
          <w:i/>
          <w:iCs/>
        </w:rPr>
        <w:t xml:space="preserve">What this finding can support.</w:t>
      </w:r>
      <w:r>
        <w:t xml:space="preserve"> </w:t>
      </w:r>
      <w:r>
        <w:t xml:space="preserve">A measured participation rate with a described pattern. The evaluation reports it; it does not explain it.</w:t>
      </w:r>
    </w:p>
    <w:bookmarkEnd w:id="23"/>
    <w:bookmarkStart w:id="24" w:name="Xfd1fb8119229fbd8e0a5e233fd9f519f94bba0f"/>
    <w:p>
      <w:pPr>
        <w:pStyle w:val="Heading2"/>
      </w:pPr>
      <w:r>
        <w:t xml:space="preserve">Finding 5. The scheme’s administration cost more than budgeted</w:t>
      </w:r>
    </w:p>
    <w:p>
      <w:pPr>
        <w:pStyle w:val="FirstParagraph"/>
      </w:pPr>
      <w:r>
        <w:t xml:space="preserve">Administration ran 22% over budget. The overrun is concentrated in verification of fuel purchase records, which required manual inspection in 41% of cases.</w:t>
      </w:r>
    </w:p>
    <w:p>
      <w:pPr>
        <w:pStyle w:val="BodyText"/>
      </w:pPr>
      <w:r>
        <w:rPr>
          <w:i/>
          <w:iCs/>
        </w:rPr>
        <w:t xml:space="preserve">What this finding can support.</w:t>
      </w:r>
      <w:r>
        <w:t xml:space="preserve"> </w:t>
      </w:r>
      <w:r>
        <w:t xml:space="preserve">A cost figure from the scheme’s own accounts, not an estimate.</w:t>
      </w:r>
    </w:p>
    <w:bookmarkEnd w:id="24"/>
    <w:bookmarkStart w:id="25" w:name="Xe67dd83714d48190d38109722b878b0a85a0db0"/>
    <w:p>
      <w:pPr>
        <w:pStyle w:val="Heading2"/>
      </w:pPr>
      <w:r>
        <w:t xml:space="preserve">Finding 6. No measurable effect on vehicle maintenance or fleet renewal</w:t>
      </w:r>
    </w:p>
    <w:p>
      <w:pPr>
        <w:pStyle w:val="FirstParagraph"/>
      </w:pPr>
      <w:r>
        <w:t xml:space="preserve">Point estimates for both outcomes are close to zero with wide confidence intervals. The evaluation cannot rule out effects of either sign.</w:t>
      </w:r>
    </w:p>
    <w:p>
      <w:pPr>
        <w:pStyle w:val="BodyText"/>
      </w:pPr>
      <w:r>
        <w:rPr>
          <w:i/>
          <w:iCs/>
        </w:rPr>
        <w:t xml:space="preserve">What this finding can support.</w:t>
      </w:r>
      <w:r>
        <w:t xml:space="preserve"> </w:t>
      </w:r>
      <w:r>
        <w:t xml:space="preserve">A null result with wide intervals: the evaluation found no evidence either way, and says so.</w:t>
      </w:r>
    </w:p>
    <w:p>
      <w:r>
        <w:br w:type="page"/>
      </w:r>
    </w:p>
    <w:bookmarkEnd w:id="25"/>
    <w:bookmarkEnd w:id="26"/>
    <w:bookmarkStart w:id="27" w:name="what-each-finding-does-not-support"/>
    <w:p>
      <w:pPr>
        <w:pStyle w:val="Heading1"/>
      </w:pPr>
      <w:r>
        <w:t xml:space="preserve">What each finding does not support</w:t>
      </w:r>
    </w:p>
    <w:p>
      <w:pPr>
        <w:pStyle w:val="FirstParagraph"/>
      </w:pPr>
      <w:r>
        <w:t xml:space="preserve">A good brief is judged by what it does not claim, as well as by what it claims. Below are</w:t>
      </w:r>
      <w:r>
        <w:t xml:space="preserve"> </w:t>
      </w:r>
      <w:r>
        <w:t xml:space="preserve">claims that each finding might tempt you to make, but that the finding cannot support.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Finding 1</w:t>
      </w:r>
      <w:r>
        <w:t xml:space="preserve"> </w:t>
      </w:r>
      <w:r>
        <w:t xml:space="preserve">(Fuel costs fell for participating operators) does not support the claim:</w:t>
      </w:r>
      <w:r>
        <w:t xml:space="preserve"> </w:t>
      </w:r>
      <w:r>
        <w:t xml:space="preserve">“The scheme works.”</w:t>
      </w:r>
      <w:r>
        <w:t xml:space="preserve"> </w:t>
      </w:r>
      <w:r>
        <w:t xml:space="preserve">A saving below the threshold is still below the threshold.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Finding 2</w:t>
      </w:r>
      <w:r>
        <w:t xml:space="preserve"> </w:t>
      </w:r>
      <w:r>
        <w:t xml:space="preserve">(The saving is real but smaller than the threshold) does not support the claim:</w:t>
      </w:r>
      <w:r>
        <w:t xml:space="preserve"> </w:t>
      </w:r>
      <w:r>
        <w:t xml:space="preserve">“The scheme failed.”</w:t>
      </w:r>
      <w:r>
        <w:t xml:space="preserve"> </w:t>
      </w:r>
      <w:r>
        <w:t xml:space="preserve">A shortfall of 157 AED against a threshold is not the same as no effect, and the interval is narrow.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Finding 3</w:t>
      </w:r>
      <w:r>
        <w:t xml:space="preserve"> </w:t>
      </w:r>
      <w:r>
        <w:t xml:space="preserve">(Freight rates fell slightly more for participating operators) does not support the claim:</w:t>
      </w:r>
      <w:r>
        <w:t xml:space="preserve"> </w:t>
      </w:r>
      <w:r>
        <w:t xml:space="preserve">“Consumers benefited.”</w:t>
      </w:r>
      <w:r>
        <w:t xml:space="preserve"> </w:t>
      </w:r>
      <w:r>
        <w:t xml:space="preserve">The estimate is not significant; this is a hypothesis, not a result.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Finding 4</w:t>
      </w:r>
      <w:r>
        <w:t xml:space="preserve"> </w:t>
      </w:r>
      <w:r>
        <w:t xml:space="preserve">(Two-thirds of eligible operators did not join) does not support the claim:</w:t>
      </w:r>
      <w:r>
        <w:t xml:space="preserve"> </w:t>
      </w:r>
      <w:r>
        <w:t xml:space="preserve">“Operators did not want it.”</w:t>
      </w:r>
      <w:r>
        <w:t xml:space="preserve"> </w:t>
      </w:r>
      <w:r>
        <w:t xml:space="preserve">The evaluation measured who did not join, not why.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Finding 5</w:t>
      </w:r>
      <w:r>
        <w:t xml:space="preserve"> </w:t>
      </w:r>
      <w:r>
        <w:t xml:space="preserve">(The scheme’s administration cost more than budgeted) does not support the claim:</w:t>
      </w:r>
      <w:r>
        <w:t xml:space="preserve"> </w:t>
      </w:r>
      <w:r>
        <w:t xml:space="preserve">“The scheme is badly run.”</w:t>
      </w:r>
      <w:r>
        <w:t xml:space="preserve"> </w:t>
      </w:r>
      <w:r>
        <w:t xml:space="preserve">The overrun is a fact about cost, not about delivery quality.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Finding 6</w:t>
      </w:r>
      <w:r>
        <w:t xml:space="preserve"> </w:t>
      </w:r>
      <w:r>
        <w:t xml:space="preserve">(No measurable effect on vehicle maintenance or fleet renewal) does not support the claim:</w:t>
      </w:r>
      <w:r>
        <w:t xml:space="preserve"> </w:t>
      </w:r>
      <w:r>
        <w:t xml:space="preserve">“There is no effect.”</w:t>
      </w:r>
      <w:r>
        <w:t xml:space="preserve"> </w:t>
      </w:r>
      <w:r>
        <w:t xml:space="preserve">The intervals are wide enough to contain a meaningful effect in either direction.</w:t>
      </w:r>
    </w:p>
    <w:bookmarkEnd w:id="27"/>
    <w:bookmarkStart w:id="28" w:name="the-threshold"/>
    <w:p>
      <w:pPr>
        <w:pStyle w:val="Heading1"/>
      </w:pPr>
      <w:r>
        <w:t xml:space="preserve">The threshold</w:t>
      </w:r>
    </w:p>
    <w:p>
      <w:pPr>
        <w:pStyle w:val="FirstParagraph"/>
      </w:pPr>
      <w:r>
        <w:t xml:space="preserve">The commissioning authority will decide on one number:</w:t>
      </w:r>
      <w:r>
        <w:t xml:space="preserve"> </w:t>
      </w:r>
      <w:r>
        <w:rPr>
          <w:b/>
          <w:bCs/>
        </w:rPr>
        <w:t xml:space="preserve">900 AED per vehicle per year</w:t>
      </w:r>
      <w:r>
        <w:t xml:space="preserve">. The evaluation’s</w:t>
      </w:r>
      <w:r>
        <w:t xml:space="preserve"> </w:t>
      </w:r>
      <w:r>
        <w:t xml:space="preserve">headline estimate is 743 AED, with an upper confidence bound of 796 AED.</w:t>
      </w:r>
    </w:p>
    <w:p>
      <w:pPr>
        <w:pStyle w:val="BodyText"/>
      </w:pPr>
      <w:r>
        <w:t xml:space="preserve">Nothing in the six findings is hidden or ambiguous. The difficulty of this exercise is</w:t>
      </w:r>
      <w:r>
        <w:t xml:space="preserve"> </w:t>
      </w:r>
      <w:r>
        <w:t xml:space="preserve">deciding what the evidence supports, not working out what the evidence says.</w:t>
      </w:r>
    </w:p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Tariff Shield: Evaluation Findings</dc:title>
  <dc:creator>3ie</dc:creator>
  <cp:keywords/>
  <dcterms:created xsi:type="dcterms:W3CDTF">2026-10-05T19:12:44Z</dcterms:created>
  <dcterms:modified xsi:type="dcterms:W3CDTF">2026-10-05T19:12:44Z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ditor_options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subtitle">
    <vt:lpwstr>The findings set for the evidence-translation exercise · Module 2, Day 4 Session 2</vt:lpwstr>
  </property>
  <property fmtid="{D5CDD505-2E9C-101B-9397-08002B2CF9AE}" pid="11" name="toc-title">
    <vt:lpwstr>Table of contents</vt:lpwstr>
  </property>
</Properties>
</file>