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Read a reported result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the extract. Circle the estimate, box its interval and underline the comparison. Use these to write a careful decision sentence.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Fictional GreenWaste case | invented figures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The decision rule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At least 1,000 AED annual saving per business, measured 12 months later. This is an invented course rule; it is not a full value-for-money test.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The report extract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City businesses that took part: the same businesses before and 12 months after. Outcome: annual waste cost, AED per business.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736"/>
        <w:gridCol w:w="1800"/>
        <w:gridCol w:w="3240"/>
        <w:gridCol w:w="2016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Result row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Coefficient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95% interval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After GreenWaste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-670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-685 to -655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0.001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Negative means lower costs. Coefficient means the number beside the named result row. The confidence interval describes statistical uncertainty; it does not cover every source of bias.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What does the result say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Write the change with its units, group and period.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Does the reported change meet the rule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Explain using the estimate and interval.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Check the conclusion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3 What does this comparison leave unanswered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What could have changed costs without GreenWaste? What would you ask the evaluator?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4 Repair this illustrative AI summary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"City participants' annual costs fell by 670 AED. GreenWaste caused that saving, so scale-up is justified."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Underline what the extract supports. Cross out what it does not support. Rewrite the conclusion using the source.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5 Your decision sentence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State the result, one limit and your next question. Work alone before comparing with a partner.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 small p-value does not establish cause or a large enough saving. A non-significant result does not prove there is no effect.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2026-10-06T20:31:28Z</dcterms:modified>
  <cp:category/>
</cp:coreProperties>
</file>