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B7 Day 1 B7 Session 2</w:t>
      </w:r>
    </w:p>
    <w:p>
      <w:pPr>
        <w:pStyle w:val="Title"/>
      </w:pPr>
      <w:r>
        <w:rPr>
          <w:rFonts w:ascii="Arial" w:hAnsi="Arial" w:eastAsia="Arial" w:cs="Arial"/>
          <w:i w:val="false"/>
          <w:b w:val="true"/>
          <w:u w:val="none"/>
          <w:strike w:val="false"/>
          <w:sz w:val="44"/>
          <w:szCs w:val="44"/>
          <w:color w:val="000000"/>
        </w:rPr>
        <w:t xml:space="preserve">Read a reported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the extract. Circle the estimate, box its interval and underline the comparison. Use these to write a careful decision sentence.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B7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decision rule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At least 1,000 AED annual saving per business, measured 12 months later. This is an invented course rule; it is not a full value-for-money test.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report extract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City businesses that took part: the same businesses before and 12 months after. Outcome: annual waste cost, AED per business.</w:t>
      </w:r>
    </w:p>
    <w:tbl xmlns:a="http://schemas.openxmlformats.org/drawingml/2006/main" xmlns:pic="http://schemas.openxmlformats.org/drawingml/2006/picture">
      <w:tblPr>
        <w:tblLayout w:type="fixed"/>
        <w:jc w:val="start"/>
        <w:tblLook w:firstRow="1" w:lastRow="0" w:firstColumn="0" w:lastColumn="0" w:noHBand="0" w:noVBand="1"/>
      </w:tblPr>
      <w:tblGrid>
        <w:gridCol w:w="2736"/>
        <w:gridCol w:w="1800"/>
        <w:gridCol w:w="3240"/>
        <w:gridCol w:w="201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 row</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Coefficient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p-value</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After GreenWaste</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-670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-685 to -655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&lt; 0.001</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Negative means lower costs. Coefficient means the number beside the named result row. The confidence interval describes statistical uncertainty; it does not cover every source of bias.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What does the result say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change with its units, group and period.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Does the reported change meet the rule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Explain using the estimate and interval.</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B7 Day 1 B7 Session 2</w:t>
      </w:r>
    </w:p>
    <w:p>
      <w:pPr>
        <w:pStyle w:val="Title"/>
      </w:pPr>
      <w:r>
        <w:rPr>
          <w:rFonts w:ascii="Arial" w:hAnsi="Arial" w:eastAsia="Arial" w:cs="Arial"/>
          <w:i w:val="false"/>
          <w:b w:val="true"/>
          <w:u w:val="none"/>
          <w:strike w:val="false"/>
          <w:sz w:val="44"/>
          <w:szCs w:val="44"/>
          <w:color w:val="000000"/>
        </w:rPr>
        <w:t xml:space="preserve">Check the conclusion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What does this comparison leave unanswered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could have changed costs without GreenWaste? What would you ask the evaluator?</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4 Repair this illustrative AI summary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b</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Underline what the extract supports. Cross out what it does not support. Rewrite the conclusion using the source.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5 Your decision sentence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State the result, one limit and your next question. Work alone before comparing with a partner.</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A small p-value does not establish cause or a large enough saving. A non-significant result does not prove there is no effect.</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B7 Day 1 B7 Session 2</w:t>
      </w:r>
    </w:p>
    <w:p>
      <w:pPr>
        <w:pStyle w:val="Title"/>
      </w:pPr>
      <w:r>
        <w:rPr>
          <w:rFonts w:ascii="Arial" w:hAnsi="Arial" w:eastAsia="Arial" w:cs="Arial"/>
          <w:i w:val="false"/>
          <w:b w:val="true"/>
          <w:u w:val="none"/>
          <w:strike w:val="false"/>
          <w:sz w:val="44"/>
          <w:szCs w:val="44"/>
          <w:color w:val="000000"/>
        </w:rPr>
        <w:t xml:space="preserve">Trainer key for reading a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pages 1 and 2 double-sided, one per participant. This page is trainer only.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Source and answer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Change -670 AED; 95% interval -685 to -655. Annual cost for city participants, after minus before, measured 12 months later. Both the estimate and interval imply a saving below the 1,000 AED rule. The result does not isolate what GreenWaste caused.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printed regression stacks each business twice and clusters standard errors by business using estimatr::lm_robust with se_type = stata. The trainerb</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Feedback</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Insist on comparison, units and period. Negative here means lower costs. The interval concerns the reported change, not individual business outcomes. Its precision does not solve causal bias. Statistical significance concerns a no-change model and its assumptions; it is not a probability that the programme works.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AI and independent close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Keep the descriptive fall; remove the causal and scale-up conclusion. Example: the observed fall is below the rule, but this comparison cannot isolate the programmeb</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Delivery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One trainer-run calculation only. Predict its sign before Run. If webR cannot load, use the printed result. Protect ten minutes for individual mark-up, pair comparison and feedback. Total 60 minutes.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2026-10-06T20:26:29Z</dcterms:modified>
  <cp:category/>
</cp:coreProperties>
</file>