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businesses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businesses in the rest of the city. Waste each one sent to landfill in the year before GreenWaste, in tonnes.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1728"/>
        <w:gridCol w:w="2592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Business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Staff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Landfill (tonnes)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B00755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B04954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B01673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B07507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B08013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B01274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B02136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B03791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B05600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B03836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landfill per business: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businesses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business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largest business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landfill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landfill per business in the rest of the city (tonnes per year), before GreenWaste and 12 months after.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landfill (tonnes)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6.63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3.35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11.17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10.58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for those that took part:  ________     The gap after:  ________     The gap before: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of these three numbers is the effect of GreenWaste on landfill?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of GreenWaste each report 1.8 tonnes less landfill per business per year. The city's target: at least 2.0 tonnes less.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and the target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"Landfill waste from businesses in our programme fell 50%.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ask what the 50%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area is -0.22.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give you advice about premises?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You are the commissioner. You receive four sentences from reports on GreenWaste.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115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the trainer uses the wall matrix: draw a stripe in your group's colour across each excerpt slip, then tape each slip in the cell that matches your answer (row: the question it does not answer; column: act, ask first or do not act).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claims: the excerpts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Landfill waste from businesses in GreenWaste fell 50% in a year.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The effect of GreenWaste on landfill is -2.69 tonnes per business, 95% confidence interval -2.75 to -2.64.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The fall in landfill is statistically significant (p &lt; 0.001), so every business in the country should join GreenWaste.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Landfill fell 3.3 tonnes per business among those that took part and 0.6 tonnes among those that did not.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2026-10-06T17:18:19Z</dcterms:modified>
  <cp:category/>
</cp:coreProperties>
</file>