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before-and-after regression for the city businesses that took part in GreenWaste. Outcome: waste costs in AED per business per year, before the programme (after = 0) and 12 months later (after = 1). Standard errors are clustered by business.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1,417.5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1,445.6</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after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-669.8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-684.5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-655.1</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number is the before-and-after change? Circle that number.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Where is the confidence interval for that change? Draw a box around the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Which number is the average before the programme? Underline that number. Why is it not the effect of GreenWaste?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To know whether GreenWaste caused the change, what would you compare these businesses with? Write the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waste costs per business, before GreenWaste and 12 months after, for the city businesses that took part.</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3291840" cy="219456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 give the AI the chart, photograph the chart on this sheet and attach the photo to your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"What does this chart show? Did GreenWaste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chart shows a 47% reduction in waste costs after businesses joined GreenWaste, from 1,432 to 762 AED per business. This reduction is statistically significant (p &lt; 0.001), confirming that the programme caused the decline. The fall was consistent across all types of business, which suggests the effect is robust. Given the size of the effect, the programme should be scaled up nationally."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pairs: underline each claim in the response that you can see in the chart. Cross out each claim that the chart does not show.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shows average waste costs per business, before the GreenWaste programme and 12 months after, for the city businesses that took part. The rule for scaling up is a fall of at least 1,000 AED per business per year. Describe only what the chart shows. Then list what else could explain the change, and what comparison you would need before saying the programme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Run both prompts with the same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does the second answer include that the first answer left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Paste the second answer into a new chat and ask: which of these claims does the chart not support? Which claims does the new chat find?</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to ask the evaluator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The change is the after row: -669.8 AED per business (the slides round it to -670). 2. Its interval runs from -684.5 to -655.1. 3. The intercept, 1,431.5 AED, is the average before the programme for the city businesses that took part. It is a starting level with nothing to compare it against, so it says nothing about what GreenWaste did. 4. Businesses that did not take part, over the same 12 months. Their costs rose by 144 AED per business with no programme, so the fall of 670 likely understates what GreenWaste did. Whether they are a fair comparison (they all scored above 58) is the question for Session 3.</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Against the rule of 1,000 AED: the estimate (670) and the whole interval (655 to 685) fall short. The result is precise, so on how big and how sure the before-and-after number says do not scale up; compared to what is still open.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Correct: "47% reduction, 1,432 to 762". The bars show 1,432 and 762; the 47% can be worked out from them. Not on the chart: "p &lt; 0.001"; the model supplied a p-value it was never given. "Confirming that the programme caused": a before-and-after chart cannot show cause, and a small p-value says the fall is unlikely to be noise, not what caused it. "Consistent across all types of business": invented; the chart has no types of business, and 10% of the businesses that took part ended with higher costs. "Should be scaled up nationally": a recommendation with no rule and no comparison; the rule asks for 1,000 AED and the bars show a fall of 670.</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the second prompt, listen for answers that check the fall against the 1,000 AED rule, ask what happened to businesses that did not take part, and ask whether prices or waste fees changed.</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c302e0eca0ca8ed0737c15f28a674f517191529b.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2026-10-06T17:17:54Z</dcterms:modified>
  <cp:category/>
</cp:coreProperties>
</file>