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Six pairs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Each section of this session shows the same data drawn two ways. For every pair, in groups: what is this figure telling you, and what might be wrong or misleading?</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3456"/>
        <w:gridCol w:w="345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Pair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is it telling you?</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might be wrong or misleading?</w:t>
            </w:r>
          </w:p>
        </w:tc>
      </w:tr>
      <w:tr>
        <w:trPr>
          <w:trHeight w:val="1224"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The same gap, two axes</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 A bar of means, then the distributions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Percentages: zero bases, biggest wins, two averages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After only, then before and after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 Savings added up, then discounted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 The pie, then the counts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Predict before the reveal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Share of enrolled businesses that paid more than the average non-enrolled business:  ________ %</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pooled change in child collisions and the average of each segment's change: close, or far apart?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discount rate at which five years of savings no longer cover the 1,800 AED cost:  ________ %</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which chart is fairer?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two GreenWaste baseline figures: the same gap between enrolled and not-enrolled businesses, drawn twice.</w:t>
      </w:r>
    </w:p>
    <w:p>
      <w:pPr>
        <w:pStyle w:val="Normal"/>
      </w:pPr>
      <w:r>
        <w:rPr/>
        <w:drawing>
          <wp:inline distT="0" distB="0" distL="0" distR="0">
            <wp:extent cx="5852160" cy="23774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852160" cy="237744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Give the model both figures and this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"Which of these two charts better represents the difference between the two groups, and why?"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Both charts present the same underlying data accurately. The truncated-axis chart is often preferable for a policy audience because it makes the difference visible, and a y-axis that starts at zero is not a requirement in professional data visualisation. On balance the truncated version communicates the finding more effectively, and a reader who wants the absolute values can consult the data labels.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Four minutes. Is it right? Does it answer the question that was asked? What does it explain well?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chart will sit beside the claim 'the programme reduced costs substantially'. Is the axis appropriate for that claim, for a non-technical reader?"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habits: ask the AI to ask you questions before it answers, and paste its answer into a fresh chat to check it.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rules for any figure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518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rules for any figure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Read the axis before the shape.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Ask what the bar is averaging over.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Check the denominator.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Compare changes, not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Discount the future in front of the reader.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The fastest check: read the y-axis, then the sentence under the figure. Large compared to what?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Questions I will bring to the clinic:</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rules for any figure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Read the axis before the shape.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Ask what the bar is averaging over.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Check the denominator.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Compare changes, not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Discount the future in front of the reader.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The fastest check: read the y-axis, then the sentence under the figure. Large compared to what?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Questions I will bring to the clinic:</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518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rules for any figure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Read the axis before the shape.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Ask what the bar is averaging over.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Check the denominator.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Compare changes, not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Discount the future in front of the reader.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The fastest check: read the y-axis, then the sentence under the figure. Large compared to what?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Questions I will bring to the clinic:</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rules for any figure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Read the axis before the shape.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Ask what the bar is averaging over.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Check the denominator.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Compare changes, not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Discount the future in front of the reader.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The fastest check: read the y-axis, then the sentence under the figure. Large compared to what?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Questions I will bring to the clinic:</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six pairs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The gap is 630 AED in both figures (30% of the non-enrolled mean, 1.13 standard deviations). The truncated axis starts at 1,300, so the gap fills the frame. Cover the bars, read the axis, uncover.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The two groups overlap very little: only 7.8% of enrolled businesses paid more than the average non-enrolled business. A bar of means cannot show that.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10 of the 200 package segments had no child collisions at baseline, so a percentage change is undefined for them. 33 package segments fell to zero, a 100% cut, 23 of them from four collisions or fewer. The two top-six lists share 1 segment and answer different questions: where the package worked best, and where it prevented the most harm (54 collisions removed).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4. After only, the gap is 1,447 AED. The comparison group started 630 AED worse off and its costs were rising anyway; the DiD estimate is 816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5. Added up, five years of savings reach 4,080 AED; discounted at 5%, 3,365. The 715 AED gap comes from the discount rate alone. Ratio 1.87.</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6. The slices overlap: every child collision is also an injury collision, so the percentages are wrong as drawn. The pie also pools both rounds and hides the counts (minor 12,935, injury 7,616, of which child 2,852).</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Predictions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7.8%. Pooled -51.5% against an average of -35.6% across the 190 package segments with a baseline: far apart, because the pooled figure weights segments by their collisions. About 24%.</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Each sentence is accurate. The answer skips who is reading the figure and the sentence beside it: a truncated axis suits "a difference exists", not "a large difference". It never checks either picture against the number (630 AED, 1.13 standard deviations), and it does not ask who the audience is. The better prompt names both.</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bc7f3aca9adabdbc7261e5e5de519f4155c1489.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2026-09-27T20:25:28Z</dcterms:modified>
  <cp:category/>
</cp:coreProperties>
</file>