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Credibility rating sheet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with the report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Work through the report one section at a time. Circle a colour for each section and write the one reason that decided it. Rate the executive summary first, on your own, before reading on. Then rate Sections 3 to 7 in pairs. The second column names the area from yesterday's checklist to apply.</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8064"/>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Colour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What it means</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Green</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Credible as it stands. You would rely on this section without further work.</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Amber</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Credible with a specific caveat. Name the caveat and say what would settle it.</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Not credible. The problem undermines a claim made in this section.</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7"/>
          <w:szCs w:val="17"/>
          <w:color w:val="545860"/>
        </w:rPr>
        <w:t xml:space="preserve">Section 2, The programme, describes the programme and is not rated.</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1584"/>
        <w:gridCol w:w="1584"/>
        <w:gridCol w:w="2592"/>
        <w:gridCol w:w="2016"/>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Section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Area to check</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Colour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The reason that decided it</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If amber or red: what would settle it</w:t>
            </w:r>
          </w:p>
        </w:tc>
      </w:tr>
      <w:tr>
        <w:trPr>
          <w:trHeight w:val="1368"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 Executive summary</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Conclusions</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Green  /  Amber  /  Red</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368"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3. Evaluation design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Methodology; Assumptions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368"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4. Data</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Data quality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368" w:hRule="atLeast"/>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5. Results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Methodology; Conclusions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368" w:hRule="atLeast"/>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6. Limitations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Assumptions; Data quality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368" w:hRule="atLeast"/>
        </w:trPr>
        body6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7. Conclusions and recommendations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Conclusions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Your verdict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on the back of the rating sheet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Would you sign off on this evaluation for national scale-up?</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Before reading:   Yes  /  No  /  Not without more answers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At the end:          Yes  /  No  /  Not without more answers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single most important problem you found: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strongest thing in the report, and whether it rescues the recommendation: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Compare your colour for the executive summary with your colour for the results section. If they differ, what did the summary lead you to believe?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Snapshot: a credibility verdict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group</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The report is on the course website: download Oct15_session1_report.docx from the landing page.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The prompt, with the report pasted in: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"Here is an evaluation report on a programme that subsidised waste-management technology for businesses. It found a cost reduction of approximately 1,000 AED per business per year and recommends national scale-up. Assess the credibility of this evidence and tell me whether the recommendation is sound."</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Assessment: the evidence is credible and the recommendation is sound. The report is unusually thorough for this kind of evaluation. Several points support its credibility: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Multiple methods. The use of four estimation approaches, all producing consistent results, is a strong indicator of robustness. When independent methods agree, the finding is unlikely to be an artefact of any single specification.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Large sample. With roughly 9,900 observations, the study is well powered and the estimates are precise.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Transparency. The report discloses a change in the survey instrument between rounds and notes the gaps in the recycling compliance data. This level of disclosure suggests a careful and honest evaluation team.</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Appropriate limitations. The limitations section correctly identifies that the randomised comparison estimates the offer effect and that the RDD estimate is local to the cut-off.</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Recommendation. The headline estimate of 1,014 AED exceeds the 1,000 AED threshold, so the programme meets the criterion for scale-up. The recommendation is supported by the evidence.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Underline the two claims the report does not support. Then find the larger problem the response never mentions. Compare with the answer your own AI gave.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Then run this prompt instead, and compare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"The same report claims a cost reduction of approximately 1,000 AED against a decision threshold of 1,000 AED. Do three things. First, list every estimate the report gives, with its confidence interval, and say for each one whether it clears the threshold. Second, identify any claim in the executive summary that is not supported by the results section, and quote both. Third, tell me what the report does not tell me that I would need in order to decide."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Two habits: ask the AI to ask you questions before it answers, and paste its answer into a fresh chat to check it.</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three habits for reading a report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4032"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habits for reading a report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Read the limitations section, then check whether it names the problems in the data section. If it does not, ask why they were dropped.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Find the preferred specification and check whether the headline is it. When they differ, ask why.</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I will ask these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habits for reading a report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Read the limitations section, then check whether it names the problems in the data section. If it does not, ask why they were dropped.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Find the preferred specification and check whether the headline is it. When they differ, ask why.</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I will ask these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4032"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habits for reading a report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Read the limitations section, then check whether it names the problems in the data section. If it does not, ask why they were dropped.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Find the preferred specification and check whether the headline is it. When they differ, ask why.</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I will ask these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habits for reading a report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Read the limitations section, then check whether it names the problems in the data section. If it does not, ask why they were dropped.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Find the preferred specification and check whether the headline is it. When they differ, ask why.</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I will ask these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4032"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habits for reading a report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Read the limitations section, then check whether it names the problems in the data section. If it does not, ask why they were dropped.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Find the preferred specification and check whether the headline is it. When they differ, ask why.</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I will ask these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habits for reading a report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Read the limitations section, then check whether it names the problems in the data section. If it does not, ask why they were dropped.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Find the preferred specification and check whether the headline is it. When they differ, ask why.</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I will ask these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3888"/>
        <w:gridCol w:w="4032"/>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Section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What is genuinely good</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The planted problem</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 Executive summary</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States the decision threshold up front and reports an estimate against it. The reader knows what is being claimed and by what standard.</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It claims the programme “meets the threshold” and reports “approximately 1,000” as if all four methods agreed. Only the matched comparison gives 1,000, and the preferred specification gives 816.</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 Evaluation design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Four methods reported with their different target populations named. Most reports of this kind give one number and no way to interrogate it.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It asserts that parallel trends is “satisfied by construction” because the neighbourhoods share an administrative area. That is not what the assumption requires, and no pre-trend test is reported. The defence is also about the wrong groups: the DiD compares enrolled with non-enrolled businesses inside treatment neighbourhoods, but the argument is about treatment and control neighbourhoods.</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 Data</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Names the outcome, gives sample sizes, and discloses that the survey instrument changed between rounds. Disclosure is the right instinct.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Recycling compliance is missing for 8,570 of 19,826 observations, and the gap is put down to “the inspection schedule” without saying which businesses are missing. (In the data, it is every ineligible business.) The instrument change is called a refinement without any test that it did not shift the outcome.</w:t>
            </w:r>
          </w:p>
        </w:tc>
      </w:tr>
      <w:tr>
        <w:trPr>
          <w:trHeight w:val="360" w:hRule="auto"/>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 Results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 full table with confidence intervals for every method, plus an annex of robustness specifications. Nothing is hidden in a footnote.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 headline result is the largest of the four estimates, chosen because of the population it covers rather than because the design is stronger. The preferred specification fails the threshold and the report does not say so.</w:t>
            </w:r>
          </w:p>
        </w:tc>
      </w:tr>
      <w:tr>
        <w:trPr>
          <w:trHeight w:val="360" w:hRule="auto"/>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 Limitations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Three limitations stated plainly, and the offer-versus-enrolment and near-the-cut-off points are technically correct.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All three are boilerplate that leave the conclusion intact. The problems raised in the data section (the instrument change and the unexplained gap in the compliance data) are never carried through to here.</w:t>
            </w:r>
          </w:p>
        </w:tc>
      </w:tr>
      <w:tr>
        <w:trPr>
          <w:trHeight w:val="360" w:hRule="auto"/>
        </w:trPr>
        body6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 Conclusions and recommendations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Recommendations are specific enough to act 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Recommendations 2 and 3 are not supported by anything in the evaluation: nothing was estimated about subsidy rates, and the cut-off finding is about a different population from the one being scaled up.</w:t>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 most important problem</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results section. The headline is the one estimate that clears the threshold, and the report never says that its own preferred specification, named in Section 3, does not. A reader who stops after the executive summary would conclude the programme pays for itself. It does not, on the evidence reported here.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AI Snapshot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two unsupported claims: "the programme meets the criterion for scale-up" and "the recommendation is supported by the evidence". The larger problem: the response reads "approximately 1,000" as if all four methods agreed (only the matched comparison gives 1,000), and never notices that the preferred specification is 816, which fails the threshold, or asks whether 1,014 was chosen as the headline because it clears the bar. It also treats the compliance gap as evidence of honesty instead of asking which businesses are missing. What it did well: it found the real disclosures, described the offer-effect and locality limitations correctly, and reached a verdict. The better prompt asks for a comparison instead of a verdict, so the 816 is hard to miss.</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2026-09-27T20:25:35Z</dcterms:modified>
  <cp:category/>
</cp:coreProperties>
</file>