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four numbers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GreenWaste businesses in the neighbourhoods where the programme was offered. Average annual waste-management costs (AED), before and after. The bar for scale-up: at least 1,000 AED.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744"/>
        <w:gridCol w:w="1728"/>
        <w:gridCol w:w="1728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64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1,449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784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2,230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64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 of the changes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Two subtractions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First difference: each group's change over time. It removes fixed differences between the groups, and still contains the general time trend.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Change for "took part":  ________      Change for "did not take part":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Second difference: the difference between those two changes. It removes the time trend and leaves the estimated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Difference-in-differences = (change for "took part") minus (change for "did not") =  ________ AED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Does it clear 1,000 AED?   Yes  /  No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Which row is the impact?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same data as a regression, the way an evaluator would report it. Standard errors are clustered by neighbourhood.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584"/>
        <w:gridCol w:w="1440"/>
        <w:gridCol w:w="1008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Coefficient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Std. error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2,079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[2,044, 2,114]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After (round 1)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[79, 224]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-630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[-669, -591]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After (round 1) x Enrolled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-816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[-881, -752]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Circle the row that is the programme's effect. Is it the number you got by hand?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Two rows are often reported as the effect by mistake. What are they?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After (round 1) is  __________________      Enrolled is  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The least generous end of the effect's interval:  ________ AED.   Does it clear 1,000?   Yes  /  No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4. Costs were measured once before the programme and once after. What can this data not tell you about the two groups?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Snapshot: explaining the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Paste the regression table into an AI tool with this prompt: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"Explain this regression table to a non-technical decision-maker, and say what should be checked before believing the result."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 response like this is possible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table reports a difference-in-differences estimate. The programme reduced costs by 816 AED, and the effect is highly statistically significant (p &lt; 0.001), so the programme was a success. The confidence interval does not include zero, which confirms the finding is robust.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parallel trends assumption has been satisfied. The result clears the 1,000 AED threshold required for scale-up.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Which sentences can you check against the table, and which does it not support?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Then run this prompt instead, and compare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"We have a difference-in-differences table. The data has two waves only, one before and one after, so no pre-trend test is possible. The decision rule is 1,000 AED. Explain what the table supports and, separately, list what it cannot tell us.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Does the claim about parallel trends survive the second prompt? Then paste the second answer into a fresh chat and ask it to check for claims about tests that were never run.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If time allows, a leading prompt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"Our DiD shows an 816 AED cut in costs (p&lt;0.001). Write two sentences for the minister recommending scale-up."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Does it mention the 1,000 AED rule or parallel trends without being asked?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2, Session 1 · Reading DiD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 DiD result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31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331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to ask any evaluator presenting DiD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Which row is the estimate, and does its interval clear our rule, not just zero?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many periods before the programme, and were the groups already moving together?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Which comparison group, chosen how, and how did it differ at baseline?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 my desk, I will ask these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2026-09-27T20:25:53Z</dcterms:modified>
  <cp:category/>
</cp:coreProperties>
</file>