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le"/>
      </w:pPr>
      <w:r>
        <w:rPr>
          <w:rFonts w:ascii="Arial" w:hAnsi="Arial" w:eastAsia="Arial" w:cs="Arial"/>
          <w:i w:val="false"/>
          <w:b w:val="true"/>
          <w:u w:val="none"/>
          <w:strike w:val="false"/>
          <w:sz w:val="44"/>
          <w:szCs w:val="44"/>
          <w:color w:val="000000"/>
        </w:rPr>
        <w:t xml:space="preserve">GreenWaste case reference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Use this reference when reading the evaluation extracts. It describes the programme, the compared businesses and the recorded outcomes.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programme and decision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GreenWaste provides a subsidy for waste equipment, technical help with installation and staff training. Higher efficiency scores mean more efficient businesses.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Course decision rule: at least 1,000 AED annual saving per business, measured after 12 months. A credible comparison is needed to estimate the saving GreenWaste caused. This rule alone is not a full value-for-money test.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How businesses joined</w:t>
      </w:r>
    </w:p>
    <w:tbl xmlns:a="http://schemas.openxmlformats.org/drawingml/2006/main" xmlns:pic="http://schemas.openxmlformats.org/drawingml/2006/picture">
      <w:tblPr>
        <w:tblLayout w:type="fixed"/>
        <w:jc w:val="start"/>
        <w:tblLook w:firstRow="1" w:lastRow="0" w:firstColumn="0" w:lastColumn="0" w:noHBand="0" w:noVBand="1"/>
      </w:tblPr>
      <w:tblGrid>
        <w:gridCol w:w="2016"/>
        <w:gridCol w:w="1728"/>
        <w:gridCol w:w="5328"/>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Setting</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Businesses</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Selection</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Pilot district</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400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Lottery: 200 joined and 200 waited. All score 58 or below.</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Rest of city</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10,000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Score rule: 58 or below joined (4,794); above 58 did not (5,206).</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What was measured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One row per business. Annual waste cost in AED and annual landfill waste in tonnes, measured before and 12 months after. Manager age, staff, premises area and existing filtration were recorded before the programme.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Read the comparison carefully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Each method constructs a different comparison. Ask which businesses it describes, what assumption supports a causal interpretation, how uncertain the result is and what evidence is missing.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Use the picture card when first introducing the case. This cost reference is optional once cost reading has begun.</w:t>
      </w:r>
    </w:p>
    <w:p>
      <w:pPr/>
      <w:r>
        <w:br w:type="page"/>
      </w:r>
    </w:p>
    <w:p>
      <w:pPr>
        <w:pStyle w:val="Title"/>
      </w:pPr>
      <w:r>
        <w:rPr>
          <w:rFonts w:ascii="Arial" w:hAnsi="Arial" w:eastAsia="Arial" w:cs="Arial"/>
          <w:i w:val="false"/>
          <w:b w:val="true"/>
          <w:u w:val="none"/>
          <w:strike w:val="false"/>
          <w:sz w:val="44"/>
          <w:szCs w:val="44"/>
          <w:color w:val="000000"/>
        </w:rPr>
        <w:t xml:space="preserve">Recorded costs and column meanings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Mean annual waste cost in AED</w:t>
      </w:r>
    </w:p>
    <w:tbl xmlns:a="http://schemas.openxmlformats.org/drawingml/2006/main" xmlns:pic="http://schemas.openxmlformats.org/drawingml/2006/picture">
      <w:tblPr>
        <w:tblLayout w:type="fixed"/>
        <w:jc w:val="start"/>
        <w:tblLook w:firstRow="1" w:lastRow="0" w:firstColumn="0" w:lastColumn="0" w:noHBand="0" w:noVBand="1"/>
      </w:tblPr>
      <w:tblGrid>
        <w:gridCol w:w="3600"/>
        <w:gridCol w:w="1728"/>
        <w:gridCol w:w="1872"/>
        <w:gridCol w:w="1872"/>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Group</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Businesses</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Before</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After</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Pilot joined</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1,390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769</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Pilot waited</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1,783</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City took part</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4,794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763</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City did not take part</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5,206</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2,258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2,401</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These are recorded means, not causal effect estimates. Values are rounded. The evaluation result belongs to the session extract.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Column meanings</w:t>
      </w:r>
    </w:p>
    <w:tbl xmlns:a="http://schemas.openxmlformats.org/drawingml/2006/main" xmlns:pic="http://schemas.openxmlformats.org/drawingml/2006/picture">
      <w:tblPr>
        <w:tblLayout w:type="fixed"/>
        <w:jc w:val="start"/>
        <w:tblLook w:firstRow="1" w:lastRow="0" w:firstColumn="0" w:lastColumn="0" w:noHBand="0" w:noVBand="1"/>
      </w:tblPr>
      <w:tblGrid>
        <w:gridCol w:w="3888"/>
        <w:gridCol w:w="518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Column</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Meaning</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business and setting</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Identifier; pilot district or city</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score and took_part</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Efficiency score; 1 if joined, 0 otherwise</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cost_before</w:t>
            </w:r>
            <w:r>
              <w:rPr>
                <w:rFonts w:ascii="Arial" w:hAnsi="Arial" w:eastAsia="Arial" w:cs="Arial"/>
                <w:i w:val="false"/>
                <w:b w:val="false"/>
                <w:u w:val="none"/>
                <w:strike w:val="false"/>
                <w:sz w:val="24"/>
                <w:szCs w:val="24"/>
                <w:color w:val="000000"/>
              </w:rPr>
              <w:br/>
            </w:r>
            <w:r>
              <w:rPr>
                <w:rFonts w:ascii="Arial" w:hAnsi="Arial" w:eastAsia="Arial" w:cs="Arial"/>
                <w:i w:val="false"/>
                <w:b w:val="false"/>
                <w:u w:val="none"/>
                <w:strike w:val="false"/>
                <w:sz w:val="24"/>
                <w:szCs w:val="24"/>
                <w:color w:val="000000"/>
              </w:rPr>
              <w:t xml:space="preserve">cost_after</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Annual waste cost in AED, before and after</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landfill_before</w:t>
            </w:r>
            <w:r>
              <w:rPr>
                <w:rFonts w:ascii="Arial" w:hAnsi="Arial" w:eastAsia="Arial" w:cs="Arial"/>
                <w:i w:val="false"/>
                <w:b w:val="false"/>
                <w:u w:val="none"/>
                <w:strike w:val="false"/>
                <w:sz w:val="24"/>
                <w:szCs w:val="24"/>
                <w:color w:val="000000"/>
              </w:rPr>
              <w:br/>
            </w:r>
            <w:r>
              <w:rPr>
                <w:rFonts w:ascii="Arial" w:hAnsi="Arial" w:eastAsia="Arial" w:cs="Arial"/>
                <w:i w:val="false"/>
                <w:b w:val="false"/>
                <w:u w:val="none"/>
                <w:strike w:val="false"/>
                <w:sz w:val="24"/>
                <w:szCs w:val="24"/>
                <w:color w:val="000000"/>
              </w:rPr>
              <w:t xml:space="preserve">landfill_after</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Annual landfill tonnes, before and after</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manager_age and staff</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Manager age in years; number of staff</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area and filtration</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Premises area in 100 square metres; 1 if advanced filtration was already installed</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2026-10-06T21:35:48Z</dcterms:modified>
  <cp:category/>
</cp:coreProperties>
</file>