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4 | Session 2</w:t>
      </w:r>
    </w:p>
    <w:p>
      <w:pPr>
        <w:pStyle w:val="Title"/>
      </w:pPr>
      <w:r>
        <w:rPr>
          <w:rFonts w:ascii="Arial" w:hAnsi="Arial" w:eastAsia="Arial" w:cs="Arial"/>
          <w:i w:val="false"/>
          <w:b w:val="true"/>
          <w:u w:val="none"/>
          <w:strike w:val="false"/>
          <w:sz w:val="44"/>
          <w:szCs w:val="44"/>
          <w:color w:val="000000"/>
        </w:rPr>
        <w:t xml:space="preserve">Corrected GreenWaste evidence for a brief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Use this reference when writing a recommendation. It corrects the review report's planted overclaims. Each numbered finding is a source anchor for peer review.</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Pilot result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pilot lottery estimate is 1,014 AED annual saving per business after 12 months. The 95% interval is 862 to 1,167. It spans the 1,000 AED rule; the result describes one district.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City comparisons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extra change: 812 AED, interval 792 to 833, below the rule. Earlier parallel change cannot be checked with one before measure. The local score estimate and matching have their own limitations. City methods share records, not independent studies.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3 Value for money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provisional model ratio is 1.86 using the city extra-change saving. One-off cost 1,800 AED, savings in years 2 to 6 and 5% discounting are fictional assumptions. A ratio above 1 is a model result, not proof of nationwide value.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4 Evidence still needed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No real fieldwork records, earlier trends or score-manipulation evidence are supplied. Request the evidence relevant to your proposed action, including delivery reach, omitted costs and saving duration. Complete generated rows do not resolve these questions.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Source: corrected synthetic GreenWaste case and the shared cost assumptions. Annual savings are in AED per business, 12 months after. Results describe their stated comparisons and populations.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2026-10-06T22:39:14Z</dcterms:modified>
  <cp:category/>
</cp:coreProperties>
</file>