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val="0"/>
          <w:i w:val="0"/>
          <w:color w:val="545860"/>
          <w:sz w:val="20"/>
        </w:rPr>
        <w:t>GreenWaste reading workshop | Day 1 | Session 3 | AI handout</w:t>
      </w:r>
    </w:p>
    <w:p>
      <w:pPr>
        <w:spacing w:after="120" w:before="0"/>
      </w:pPr>
      <w:r>
        <w:rPr>
          <w:b/>
          <w:i w:val="0"/>
          <w:color w:val="063360"/>
          <w:sz w:val="32"/>
        </w:rPr>
        <w:t>AI exercise: advice for the minister</w:t>
      </w:r>
    </w:p>
    <w:p>
      <w:pPr>
        <w:spacing w:after="120" w:before="0"/>
      </w:pPr>
      <w:r>
        <w:rPr>
          <w:b w:val="0"/>
          <w:i w:val="0"/>
          <w:sz w:val="22"/>
        </w:rPr>
        <w:t>On page 2 of your worksheet you checked an illustrative AI draft. Now run an improved prompt in Microsoft Copilot and compare the advice with the draft you marked and with your own decision note. Keep page 1 of your worksheet (the pilot trial) and your AI good-practice card beside you. This exercise takes about 7 minutes.</w:t>
      </w:r>
    </w:p>
    <w:p>
      <w:pPr>
        <w:spacing w:after="160" w:before="0"/>
      </w:pPr>
      <w:r>
        <w:rPr>
          <w:b w:val="0"/>
          <w:i w:val="0"/>
          <w:color w:val="545860"/>
          <w:sz w:val="18"/>
        </w:rPr>
        <w:t>GreenWaste is a fictional training case.</w:t>
      </w:r>
    </w:p>
    <w:p>
      <w:pPr>
        <w:keepNext/>
        <w:spacing w:after="60" w:before="0"/>
      </w:pPr>
      <w:r>
        <w:rPr>
          <w:b/>
          <w:i w:val="0"/>
          <w:sz w:val="22"/>
        </w:rPr>
        <w:t>The pilot trial result (a copy from your worksheet)</w:t>
      </w:r>
    </w:p>
    <w:p>
      <w:pPr>
        <w:spacing w:after="80" w:before="0"/>
      </w:pPr>
      <w:r>
        <w:rPr>
          <w:b w:val="0"/>
          <w:i w:val="0"/>
          <w:sz w:val="21"/>
        </w:rPr>
        <w:t>In one district, a lottery assigned 400 businesses to join or wait. The trial compared their annual waste costs 12 months later.</w:t>
      </w:r>
    </w:p>
    <w:tbl>
      <w:tblPr>
        <w:tblStyle w:val="TableGrid"/>
        <w:tblW w:type="auto" w:w="0"/>
        <w:tblLook w:firstColumn="1" w:firstRow="1" w:lastColumn="0" w:lastRow="0" w:noHBand="0" w:noVBand="1" w:val="04A0"/>
      </w:tblPr>
      <w:tblGrid>
        <w:gridCol w:w="2438"/>
        <w:gridCol w:w="2438"/>
        <w:gridCol w:w="2438"/>
        <w:gridCol w:w="2438"/>
      </w:tblGrid>
      <w:tr>
        <w:tc>
          <w:tcPr>
            <w:tcW w:type="dxa" w:w="3685"/>
          </w:tcPr>
          <w:p>
            <w:pPr>
              <w:spacing w:after="40"/>
            </w:pPr>
            <w:r>
              <w:rPr>
                <w:b/>
                <w:sz w:val="21"/>
              </w:rPr>
              <w:t>Result row</w:t>
            </w:r>
          </w:p>
        </w:tc>
        <w:tc>
          <w:tcPr>
            <w:tcW w:type="dxa" w:w="1928"/>
          </w:tcPr>
          <w:p>
            <w:pPr>
              <w:spacing w:after="40"/>
            </w:pPr>
            <w:r>
              <w:rPr>
                <w:b/>
                <w:sz w:val="21"/>
              </w:rPr>
              <w:t>Coefficient AED</w:t>
            </w:r>
          </w:p>
        </w:tc>
        <w:tc>
          <w:tcPr>
            <w:tcW w:type="dxa" w:w="2381"/>
          </w:tcPr>
          <w:p>
            <w:pPr>
              <w:spacing w:after="40"/>
            </w:pPr>
            <w:r>
              <w:rPr>
                <w:b/>
                <w:sz w:val="21"/>
              </w:rPr>
              <w:t>95% interval AED</w:t>
            </w:r>
          </w:p>
        </w:tc>
        <w:tc>
          <w:tcPr>
            <w:tcW w:type="dxa" w:w="1361"/>
          </w:tcPr>
          <w:p>
            <w:pPr>
              <w:spacing w:after="40"/>
            </w:pPr>
            <w:r>
              <w:rPr>
                <w:b/>
                <w:sz w:val="21"/>
              </w:rPr>
              <w:t>p-value</w:t>
            </w:r>
          </w:p>
        </w:tc>
      </w:tr>
      <w:tr>
        <w:tc>
          <w:tcPr>
            <w:tcW w:type="dxa" w:w="3685"/>
          </w:tcPr>
          <w:p>
            <w:pPr>
              <w:spacing w:after="40"/>
            </w:pPr>
            <w:r>
              <w:rPr>
                <w:b w:val="0"/>
                <w:sz w:val="21"/>
              </w:rPr>
              <w:t>Took part (lottery)</w:t>
            </w:r>
          </w:p>
        </w:tc>
        <w:tc>
          <w:tcPr>
            <w:tcW w:type="dxa" w:w="1928"/>
          </w:tcPr>
          <w:p>
            <w:pPr>
              <w:spacing w:after="40"/>
            </w:pPr>
            <w:r>
              <w:rPr>
                <w:b w:val="0"/>
                <w:sz w:val="21"/>
              </w:rPr>
              <w:t>-1,014</w:t>
            </w:r>
          </w:p>
        </w:tc>
        <w:tc>
          <w:tcPr>
            <w:tcW w:type="dxa" w:w="2381"/>
          </w:tcPr>
          <w:p>
            <w:pPr>
              <w:spacing w:after="40"/>
            </w:pPr>
            <w:r>
              <w:rPr>
                <w:b w:val="0"/>
                <w:sz w:val="21"/>
              </w:rPr>
              <w:t>-1,167 to -862</w:t>
            </w:r>
          </w:p>
        </w:tc>
        <w:tc>
          <w:tcPr>
            <w:tcW w:type="dxa" w:w="1361"/>
          </w:tcPr>
          <w:p>
            <w:pPr>
              <w:spacing w:after="40"/>
            </w:pPr>
            <w:r>
              <w:rPr>
                <w:b w:val="0"/>
                <w:sz w:val="21"/>
              </w:rPr>
              <w:t>&lt; 0.001</w:t>
            </w:r>
          </w:p>
        </w:tc>
      </w:tr>
    </w:tbl>
    <w:p>
      <w:pPr>
        <w:spacing w:after="40"/>
      </w:pPr>
    </w:p>
    <w:p>
      <w:pPr>
        <w:spacing w:after="160" w:before="0"/>
      </w:pPr>
      <w:r>
        <w:rPr>
          <w:b w:val="0"/>
          <w:i w:val="0"/>
          <w:sz w:val="21"/>
        </w:rPr>
        <w:t>Decision rule: annual saving of at least 1,000 AED per business. Negative means lower costs.</w:t>
      </w:r>
    </w:p>
    <w:p>
      <w:pPr>
        <w:keepNext/>
        <w:spacing w:after="80" w:before="40"/>
      </w:pPr>
      <w:r>
        <w:rPr>
          <w:b/>
          <w:i w:val="0"/>
          <w:color w:val="063360"/>
          <w:sz w:val="26"/>
        </w:rPr>
        <w:t>Run the improved prompt, then compare</w:t>
      </w:r>
    </w:p>
    <w:p>
      <w:pPr>
        <w:spacing w:after="120" w:before="0"/>
      </w:pPr>
      <w:r>
        <w:rPr>
          <w:b w:val="0"/>
          <w:i w:val="0"/>
          <w:sz w:val="22"/>
        </w:rPr>
        <w:t>Copy the prompt below into Microsoft Copilot. It contains the pilot facts, so you can type or paste all of it. If you are not using Copilot, read the prepared response on the next page after you finish.</w:t>
      </w:r>
    </w:p>
    <w:p>
      <w:pPr>
        <w:keepNext/>
        <w:spacing w:after="60" w:before="0"/>
      </w:pPr>
      <w:r>
        <w:rPr>
          <w:b/>
          <w:i w:val="0"/>
          <w:sz w:val="22"/>
        </w:rPr>
        <w:t>Improved prompt</w:t>
      </w:r>
    </w:p>
    <w:tbl>
      <w:tblPr>
        <w:tblW w:type="auto" w:w="0"/>
        <w:tblLayout w:type="autofit"/>
        <w:tblLook w:firstColumn="1" w:firstRow="1" w:lastColumn="0" w:lastRow="0" w:noHBand="0" w:noVBand="1" w:val="04A0"/>
      </w:tblPr>
      <w:tblGrid>
        <w:gridCol w:w="9752"/>
      </w:tblGrid>
      <w:tr>
        <w:tc>
          <w:tcPr>
            <w:tcW w:type="dxa" w:w="9752"/>
            <w:shd w:val="clear" w:color="auto" w:fill="EEF4FA"/>
            <w:tcBorders>
              <w:top w:val="single" w:sz="6" w:color="A3B7CE"/>
              <w:left w:val="single" w:sz="6" w:color="A3B7CE"/>
              <w:bottom w:val="single" w:sz="6" w:color="A3B7CE"/>
              <w:right w:val="single" w:sz="6" w:color="A3B7CE"/>
            </w:tcBorders>
          </w:tcPr>
          <w:p>
            <w:pPr>
              <w:spacing w:after="100"/>
            </w:pPr>
            <w:r>
              <w:rPr>
                <w:sz w:val="21"/>
              </w:rPr>
              <w:t>Help write advice for a minister considering wider GreenWaste delivery. Use only this pilot trial information: 400 eligible businesses in one pilot district, with scores of 58 or below, individually assigned, 200 to the treatment group and 200 to the control group. Annual waste management cost was measured 12 months after GreenWaste. Assignment equals participation, and all 400 businesses have cost records after 12 months. The estimated reduction is 1,014 AED per business, with a 95% interval of 862 to 1,167 AED. Our rule is a reduction in annual waste management cost of at least 1,000 AED per business per year. Full programme costs and results elsewhere are not supplied.</w:t>
            </w:r>
          </w:p>
          <w:p>
            <w:pPr>
              <w:spacing w:after="100"/>
            </w:pPr>
            <w:r>
              <w:rPr>
                <w:sz w:val="21"/>
              </w:rPr>
              <w:t>Ask any essential clarifying questions first. Then draft three sentences: the finding and the comparison; a recommendation, or a condition that fits the size of the decision; and the most important limit, with a specific request for evidence. Separate evidence of some reduction from certainty that the reduction is at least 1,000 AED. Do not treat random assignment as a representative sample, and do not assert nationwide value for money. Cite the pilot trial information.</w:t>
            </w:r>
          </w:p>
        </w:tc>
      </w:tr>
    </w:tbl>
    <w:p>
      <w:pPr>
        <w:spacing w:after="40"/>
      </w:pPr>
    </w:p>
    <w:p>
      <w:pPr>
        <w:spacing w:after="40" w:before="0"/>
      </w:pPr>
      <w:r>
        <w:rPr>
          <w:b w:val="0"/>
          <w:i w:val="0"/>
          <w:sz w:val="22"/>
        </w:rPr>
        <w:t>(a) Which question that the AI asked helped you most?</w:t>
      </w:r>
    </w:p>
    <w:p>
      <w:pPr>
        <w:spacing w:after="140"/>
      </w:pPr>
      <w:r>
        <w:rPr>
          <w:color w:val="B5BEC9"/>
          <w:sz w:val="22"/>
        </w:rPr>
        <w:t>______________________________________________________________________________</w:t>
      </w:r>
    </w:p>
    <w:p>
      <w:pPr>
        <w:spacing w:after="40" w:before="0"/>
      </w:pPr>
      <w:r>
        <w:rPr>
          <w:b w:val="0"/>
          <w:i w:val="0"/>
          <w:sz w:val="22"/>
        </w:rPr>
        <w:t>(b) What improved compared with the draft you marked and with your own decision note?</w:t>
      </w:r>
    </w:p>
    <w:p>
      <w:pPr>
        <w:spacing w:after="140"/>
      </w:pPr>
      <w:r>
        <w:rPr>
          <w:color w:val="B5BEC9"/>
          <w:sz w:val="22"/>
        </w:rPr>
        <w:t>______________________________________________________________________________</w:t>
      </w:r>
    </w:p>
    <w:p>
      <w:pPr>
        <w:spacing w:after="40" w:before="0"/>
      </w:pPr>
      <w:r>
        <w:rPr>
          <w:b w:val="0"/>
          <w:i w:val="0"/>
          <w:sz w:val="22"/>
        </w:rPr>
        <w:t>(c) Which claim still needs checking against the pilot trial result on page 1 of your worksheet?</w:t>
      </w:r>
    </w:p>
    <w:p>
      <w:pPr>
        <w:spacing w:after="140"/>
      </w:pPr>
      <w:r>
        <w:rPr>
          <w:color w:val="B5BEC9"/>
          <w:sz w:val="22"/>
        </w:rPr>
        <w:t>______________________________________________________________________________</w:t>
      </w:r>
    </w:p>
    <w:p>
      <w:pPr>
        <w:spacing w:after="120" w:before="0"/>
      </w:pPr>
      <w:r>
        <w:rPr>
          <w:b w:val="0"/>
          <w:i/>
          <w:color w:val="545860"/>
          <w:sz w:val="20"/>
        </w:rPr>
        <w:t>A better prompt reduces mistakes. It does not remove the need to check every number and claim against the pilot trial result.</w:t>
      </w:r>
    </w:p>
    <w:p>
      <w:r>
        <w:br w:type="page"/>
      </w:r>
    </w:p>
    <w:p>
      <w:pPr>
        <w:spacing w:after="60" w:before="0"/>
      </w:pPr>
      <w:r>
        <w:rPr>
          <w:b w:val="0"/>
          <w:i w:val="0"/>
          <w:color w:val="545860"/>
          <w:sz w:val="20"/>
        </w:rPr>
        <w:t>GreenWaste reading workshop | Day 1 | Session 3 | AI handout</w:t>
      </w:r>
    </w:p>
    <w:p>
      <w:pPr>
        <w:spacing w:after="120" w:before="0"/>
      </w:pPr>
      <w:r>
        <w:rPr>
          <w:b/>
          <w:i w:val="0"/>
          <w:color w:val="063360"/>
          <w:sz w:val="32"/>
        </w:rPr>
        <w:t>Prepared response for participants not using Copilot</w:t>
      </w:r>
    </w:p>
    <w:p>
      <w:pPr>
        <w:spacing w:after="120" w:before="0"/>
      </w:pPr>
      <w:r>
        <w:rPr>
          <w:b w:val="0"/>
          <w:i w:val="0"/>
          <w:color w:val="545860"/>
          <w:sz w:val="21"/>
        </w:rPr>
        <w:t>Read this after you have marked the draft on page 2 of your worksheet. It is an example of a better answer. An AI tool may answer differently. This response was written for the exercise. It is not a real AI answer.</w:t>
      </w:r>
    </w:p>
    <w:tbl>
      <w:tblPr>
        <w:tblW w:type="auto" w:w="0"/>
        <w:tblLayout w:type="autofit"/>
        <w:tblLook w:firstColumn="1" w:firstRow="1" w:lastColumn="0" w:lastRow="0" w:noHBand="0" w:noVBand="1" w:val="04A0"/>
      </w:tblPr>
      <w:tblGrid>
        <w:gridCol w:w="9752"/>
      </w:tblGrid>
      <w:tr>
        <w:tc>
          <w:tcPr>
            <w:tcW w:type="dxa" w:w="9752"/>
            <w:shd w:val="clear" w:color="auto" w:fill="F3F7FB"/>
            <w:tcBorders>
              <w:top w:val="single" w:sz="6" w:color="A3B7CE"/>
              <w:left w:val="single" w:sz="6" w:color="A3B7CE"/>
              <w:bottom w:val="single" w:sz="6" w:color="A3B7CE"/>
              <w:right w:val="single" w:sz="6" w:color="A3B7CE"/>
            </w:tcBorders>
          </w:tcPr>
          <w:p>
            <w:pPr>
              <w:spacing w:after="100"/>
            </w:pPr>
            <w:r>
              <w:rPr>
                <w:sz w:val="21"/>
              </w:rPr>
              <w:t>Before making a recommendation, I would ask which businesses and delivery conditions the proposed expansion would cover, what programme costs it would incur, and how the authority wants to handle uncertainty around our rule of at least a 1,000 AED reduction.</w:t>
            </w:r>
          </w:p>
          <w:p>
            <w:pPr>
              <w:spacing w:after="100"/>
            </w:pPr>
            <w:r>
              <w:rPr>
                <w:sz w:val="21"/>
              </w:rPr>
              <w:t>The pilot trial reports a randomised comparison among eligible businesses in one pilot district: annual waste management cost after twelve months was about 1,014 AED lower in the treatment group than in the control group, with a 95% interval for the reduction of 862 to 1,167 AED. A limited next stage with evaluation is a defensible option, subject to the authority's costs and risk tolerance, because the interval includes reductions below our rule of at least 1,000 AED. Before broader approval, request evidence on delivery costs and on how the intended businesses differ from this pilot. The pilot alone does not show national effects or value for money.</w:t>
            </w:r>
          </w:p>
        </w:tc>
      </w:tr>
    </w:tbl>
    <w:p>
      <w:pPr>
        <w:spacing w:after="40"/>
      </w:pPr>
    </w:p>
    <w:p>
      <w:pPr>
        <w:spacing w:after="40" w:before="0"/>
      </w:pPr>
      <w:r>
        <w:rPr>
          <w:b w:val="0"/>
          <w:i w:val="0"/>
          <w:sz w:val="22"/>
        </w:rPr>
        <w:t>(a) Which clarifying question in the response helps most?</w:t>
      </w:r>
    </w:p>
    <w:p>
      <w:pPr>
        <w:spacing w:after="140"/>
      </w:pPr>
      <w:r>
        <w:rPr>
          <w:color w:val="B5BEC9"/>
          <w:sz w:val="22"/>
        </w:rPr>
        <w:t>______________________________________________________________________________</w:t>
      </w:r>
    </w:p>
    <w:p>
      <w:pPr>
        <w:spacing w:after="140"/>
      </w:pPr>
      <w:r>
        <w:rPr>
          <w:color w:val="B5BEC9"/>
          <w:sz w:val="22"/>
        </w:rPr>
        <w:t>______________________________________________________________________________</w:t>
      </w:r>
    </w:p>
    <w:p>
      <w:pPr>
        <w:spacing w:after="40" w:before="0"/>
      </w:pPr>
      <w:r>
        <w:rPr>
          <w:b w:val="0"/>
          <w:i w:val="0"/>
          <w:sz w:val="22"/>
        </w:rPr>
        <w:t>(b) Does the advice separate some reduction in cost, our rule of at least a 1,000 AED reduction, wider reach and full programme costs?</w:t>
      </w:r>
    </w:p>
    <w:p>
      <w:pPr>
        <w:spacing w:after="140"/>
      </w:pPr>
      <w:r>
        <w:rPr>
          <w:color w:val="B5BEC9"/>
          <w:sz w:val="22"/>
        </w:rPr>
        <w:t>______________________________________________________________________________</w:t>
      </w:r>
    </w:p>
    <w:p>
      <w:pPr>
        <w:spacing w:after="140"/>
      </w:pPr>
      <w:r>
        <w:rPr>
          <w:color w:val="B5BEC9"/>
          <w:sz w:val="22"/>
        </w:rPr>
        <w:t>______________________________________________________________________________</w:t>
      </w:r>
    </w:p>
    <w:p>
      <w:pPr>
        <w:spacing w:after="40" w:before="0"/>
      </w:pPr>
      <w:r>
        <w:rPr>
          <w:b w:val="0"/>
          <w:i w:val="0"/>
          <w:sz w:val="22"/>
        </w:rPr>
        <w:t>(c) Which claim would you check or strengthen before sharing this advice?</w:t>
      </w:r>
    </w:p>
    <w:p>
      <w:pPr>
        <w:spacing w:after="140"/>
      </w:pPr>
      <w:r>
        <w:rPr>
          <w:color w:val="B5BEC9"/>
          <w:sz w:val="22"/>
        </w:rPr>
        <w:t>______________________________________________________________________________</w:t>
      </w:r>
    </w:p>
    <w:p>
      <w:pPr>
        <w:spacing w:after="140"/>
      </w:pPr>
      <w:r>
        <w:rPr>
          <w:color w:val="B5BEC9"/>
          <w:sz w:val="22"/>
        </w:rPr>
        <w:t>______________________________________________________________________________</w:t>
      </w:r>
    </w:p>
    <w:sectPr w:rsidR="00FC693F" w:rsidRPr="0006063C" w:rsidSect="00034616">
      <w:pgSz w:w="11906" w:h="16838"/>
      <w:pgMar w:top="624" w:right="1077" w:bottom="62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