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10A7" w14:textId="77777777" w:rsidR="00AD18BF" w:rsidRPr="00E9455D" w:rsidRDefault="00AD18BF" w:rsidP="008B60D4">
      <w:pPr>
        <w:shd w:val="clear" w:color="auto" w:fill="FFFFFF"/>
        <w:spacing w:after="158" w:line="240" w:lineRule="auto"/>
        <w:jc w:val="center"/>
        <w:rPr>
          <w:rFonts w:ascii="Constantia" w:eastAsia="Times New Roman" w:hAnsi="Constantia" w:cs="Times New Roman"/>
          <w:b/>
          <w:bCs/>
          <w:sz w:val="32"/>
          <w:szCs w:val="32"/>
          <w:lang w:eastAsia="en-GB"/>
        </w:rPr>
      </w:pPr>
      <w:r w:rsidRPr="00E9455D">
        <w:rPr>
          <w:rFonts w:ascii="Constantia" w:eastAsia="Times New Roman" w:hAnsi="Constantia" w:cs="Times New Roman"/>
          <w:b/>
          <w:bCs/>
          <w:sz w:val="32"/>
          <w:szCs w:val="32"/>
          <w:lang w:eastAsia="en-GB"/>
        </w:rPr>
        <w:t>Model Parameters</w:t>
      </w:r>
    </w:p>
    <w:p w14:paraId="38733F1E" w14:textId="24EA0BEA" w:rsidR="008B60D4" w:rsidRPr="00E9455D" w:rsidRDefault="008B60D4" w:rsidP="00AD18BF">
      <w:pPr>
        <w:shd w:val="clear" w:color="auto" w:fill="FFFFFF"/>
        <w:spacing w:after="158" w:line="240" w:lineRule="auto"/>
        <w:rPr>
          <w:rFonts w:ascii="Constantia" w:eastAsia="Times New Roman" w:hAnsi="Constantia" w:cs="Times New Roman"/>
          <w:lang w:eastAsia="en-GB"/>
        </w:rPr>
      </w:pPr>
    </w:p>
    <w:p w14:paraId="41D7C488" w14:textId="47D05B1D" w:rsidR="001608CB" w:rsidRPr="00E9455D" w:rsidRDefault="001608CB" w:rsidP="00101E15">
      <w:pPr>
        <w:pStyle w:val="Heading1"/>
        <w:rPr>
          <w:sz w:val="22"/>
          <w:szCs w:val="22"/>
        </w:rPr>
      </w:pPr>
      <w:r w:rsidRPr="00E9455D">
        <w:rPr>
          <w:sz w:val="22"/>
          <w:szCs w:val="22"/>
        </w:rPr>
        <w:t>CHANGING PARAMETERS ACROSS MODELS</w:t>
      </w: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3969"/>
        <w:gridCol w:w="3924"/>
      </w:tblGrid>
      <w:tr w:rsidR="00101E15" w:rsidRPr="00E9455D" w14:paraId="4D06BF9C" w14:textId="77777777" w:rsidTr="004F7CC1">
        <w:trPr>
          <w:tblHeader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F5A063" w14:textId="3909C31D" w:rsidR="00AD18BF" w:rsidRPr="00AD18BF" w:rsidRDefault="001608CB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Similar to all countries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16F1E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Value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AC8D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Reference</w:t>
            </w:r>
          </w:p>
        </w:tc>
      </w:tr>
      <w:tr w:rsidR="00101E15" w:rsidRPr="00E9455D" w14:paraId="0598BF75" w14:textId="77777777" w:rsidTr="004F7CC1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19AAB" w14:textId="5C3D3520" w:rsidR="00AD18BF" w:rsidRPr="00AD18BF" w:rsidRDefault="000F5187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Average b</w:t>
            </w:r>
            <w:r w:rsidR="00AD18BF"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asic reproductive number, R0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7412D" w14:textId="145BC982" w:rsidR="00AD18BF" w:rsidRPr="00AD18BF" w:rsidRDefault="001608CB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1.1, 1.3,1.5,1.7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C37E2" w14:textId="08C440E1" w:rsidR="00AD18BF" w:rsidRPr="00AD18BF" w:rsidRDefault="004F7CC1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Scenarios</w:t>
            </w:r>
            <w:r w:rsidR="000F5187" w:rsidRPr="00E9455D">
              <w:rPr>
                <w:rFonts w:ascii="Constantia" w:eastAsia="Times New Roman" w:hAnsi="Constantia" w:cs="Times New Roman"/>
                <w:lang w:eastAsia="en-GB"/>
              </w:rPr>
              <w:t>. R0 &gt; 1 implies contagion phase continues</w:t>
            </w:r>
          </w:p>
        </w:tc>
      </w:tr>
      <w:tr w:rsidR="00101E15" w:rsidRPr="00E9455D" w14:paraId="7EF4E94D" w14:textId="77777777" w:rsidTr="004F7CC1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EE68E3" w14:textId="48BB1B83" w:rsidR="008B60D4" w:rsidRPr="00E9455D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Vaccination strategy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F64179" w14:textId="4DAE1AC1" w:rsidR="001608CB" w:rsidRPr="00E9455D" w:rsidRDefault="001608CB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Cascading and prioritising age groups</w:t>
            </w:r>
          </w:p>
          <w:p w14:paraId="1918E1F9" w14:textId="77777777" w:rsidR="001608CB" w:rsidRPr="00E9455D" w:rsidRDefault="001608CB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</w:p>
          <w:p w14:paraId="203AA99A" w14:textId="2B453542" w:rsidR="008B60D4" w:rsidRPr="00E9455D" w:rsidRDefault="001608CB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Age-blinded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894A52" w14:textId="661B7847" w:rsidR="008B60D4" w:rsidRPr="00E9455D" w:rsidRDefault="004F7CC1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Scenarios</w:t>
            </w:r>
          </w:p>
        </w:tc>
      </w:tr>
    </w:tbl>
    <w:p w14:paraId="5B4423F4" w14:textId="77777777" w:rsidR="00EB71BC" w:rsidRPr="00E9455D" w:rsidRDefault="00EB71BC" w:rsidP="005C18E0">
      <w:pPr>
        <w:tabs>
          <w:tab w:val="left" w:pos="5790"/>
          <w:tab w:val="left" w:pos="7350"/>
        </w:tabs>
        <w:spacing w:after="0" w:line="240" w:lineRule="auto"/>
        <w:ind w:left="120"/>
        <w:rPr>
          <w:rFonts w:ascii="Constantia" w:eastAsia="Times New Roman" w:hAnsi="Constantia" w:cs="Times New Roman"/>
          <w:lang w:eastAsia="en-GB"/>
        </w:rPr>
      </w:pPr>
    </w:p>
    <w:p w14:paraId="21E3380D" w14:textId="60243A94" w:rsidR="001608CB" w:rsidRPr="00E9455D" w:rsidRDefault="001608CB" w:rsidP="005C18E0">
      <w:pPr>
        <w:tabs>
          <w:tab w:val="left" w:pos="5790"/>
          <w:tab w:val="left" w:pos="7350"/>
        </w:tabs>
        <w:spacing w:after="0" w:line="240" w:lineRule="auto"/>
        <w:ind w:left="120"/>
        <w:rPr>
          <w:rFonts w:ascii="Constantia" w:eastAsia="Times New Roman" w:hAnsi="Constantia" w:cs="Times New Roman"/>
          <w:lang w:eastAsia="en-GB"/>
        </w:rPr>
      </w:pP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3969"/>
        <w:gridCol w:w="3924"/>
      </w:tblGrid>
      <w:tr w:rsidR="00101E15" w:rsidRPr="00E9455D" w14:paraId="0B13CE6B" w14:textId="77777777" w:rsidTr="004F7CC1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0E21F95" w14:textId="1089D48A" w:rsidR="001608CB" w:rsidRPr="00E9455D" w:rsidRDefault="001608CB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For each country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DE248A8" w14:textId="797554A5" w:rsidR="001608CB" w:rsidRPr="00E9455D" w:rsidRDefault="001608CB" w:rsidP="001608CB">
            <w:pPr>
              <w:spacing w:after="0" w:line="240" w:lineRule="auto"/>
              <w:rPr>
                <w:rFonts w:ascii="Constantia" w:eastAsia="Times New Roman" w:hAnsi="Constantia" w:cs="Times New Roman"/>
                <w:highlight w:val="yellow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Value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D0A3157" w14:textId="253D31B5" w:rsidR="001608CB" w:rsidRPr="00E9455D" w:rsidRDefault="001608CB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Reference</w:t>
            </w:r>
          </w:p>
        </w:tc>
      </w:tr>
      <w:tr w:rsidR="00101E15" w:rsidRPr="00E9455D" w14:paraId="644C2F00" w14:textId="77777777" w:rsidTr="004F7CC1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7C91FB" w14:textId="4D1B512C" w:rsidR="001608CB" w:rsidRPr="00E9455D" w:rsidRDefault="001608CB" w:rsidP="001608CB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Vaccination coverage per age group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F93FC0" w14:textId="7BAE0829" w:rsidR="001608CB" w:rsidRPr="00E9455D" w:rsidRDefault="001608CB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 xml:space="preserve">From current </w:t>
            </w:r>
            <w:r w:rsidR="00EB71BC" w:rsidRPr="00E9455D">
              <w:rPr>
                <w:rFonts w:ascii="Constantia" w:eastAsia="Times New Roman" w:hAnsi="Constantia" w:cs="Times New Roman"/>
                <w:lang w:eastAsia="en-GB"/>
              </w:rPr>
              <w:t>vaccination coverage up to ~90%</w:t>
            </w:r>
            <w:r w:rsidR="004F7CC1" w:rsidRPr="00E9455D">
              <w:rPr>
                <w:rFonts w:ascii="Constantia" w:eastAsia="Times New Roman" w:hAnsi="Constantia" w:cs="Times New Roman"/>
                <w:lang w:eastAsia="en-GB"/>
              </w:rPr>
              <w:t>, by 10%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0F5C14" w14:textId="46E22538" w:rsidR="001608CB" w:rsidRPr="00E9455D" w:rsidRDefault="004F7CC1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Scenarios</w:t>
            </w:r>
          </w:p>
        </w:tc>
      </w:tr>
      <w:tr w:rsidR="00101E15" w:rsidRPr="00E9455D" w14:paraId="076FC14B" w14:textId="77777777" w:rsidTr="004F7CC1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E0497F" w14:textId="2C05E3FF" w:rsidR="001608CB" w:rsidRPr="00E9455D" w:rsidRDefault="001608CB" w:rsidP="001608CB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Maximum vaccines per day (MVC)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06C60" w14:textId="68496E66" w:rsidR="001608CB" w:rsidRPr="00E9455D" w:rsidRDefault="00EB71BC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Country average in the last 4 months, twice average, thrice average and amount to cover 80% in 185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FA4D2E" w14:textId="11F83B0A" w:rsidR="001608CB" w:rsidRPr="00E9455D" w:rsidRDefault="004F7CC1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Scenarios</w:t>
            </w:r>
          </w:p>
        </w:tc>
      </w:tr>
    </w:tbl>
    <w:p w14:paraId="283ADEB8" w14:textId="77777777" w:rsidR="002A0FEA" w:rsidRPr="00E9455D" w:rsidRDefault="002A0FEA" w:rsidP="005C18E0">
      <w:pPr>
        <w:tabs>
          <w:tab w:val="left" w:pos="3953"/>
          <w:tab w:val="left" w:pos="4897"/>
        </w:tabs>
        <w:spacing w:after="0" w:line="240" w:lineRule="auto"/>
        <w:ind w:left="120"/>
        <w:rPr>
          <w:rFonts w:ascii="Constantia" w:eastAsia="Times New Roman" w:hAnsi="Constantia" w:cs="Times New Roman"/>
          <w:lang w:eastAsia="en-GB"/>
        </w:rPr>
      </w:pPr>
    </w:p>
    <w:p w14:paraId="2513EB3C" w14:textId="77777777" w:rsidR="002A0FEA" w:rsidRPr="00E9455D" w:rsidRDefault="002A0FEA" w:rsidP="005C18E0">
      <w:pPr>
        <w:tabs>
          <w:tab w:val="left" w:pos="3953"/>
          <w:tab w:val="left" w:pos="4897"/>
        </w:tabs>
        <w:spacing w:after="0" w:line="240" w:lineRule="auto"/>
        <w:ind w:left="120"/>
        <w:rPr>
          <w:rFonts w:ascii="Constantia" w:eastAsia="Times New Roman" w:hAnsi="Constantia" w:cs="Times New Roman"/>
          <w:lang w:eastAsia="en-GB"/>
        </w:rPr>
      </w:pPr>
    </w:p>
    <w:p w14:paraId="673C4CE7" w14:textId="77777777" w:rsidR="00E9455D" w:rsidRDefault="00E9455D" w:rsidP="00101E15">
      <w:pPr>
        <w:pStyle w:val="Heading1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FEF054B" w14:textId="526E2989" w:rsidR="00EB71BC" w:rsidRPr="00E9455D" w:rsidRDefault="00EB71BC" w:rsidP="00101E15">
      <w:pPr>
        <w:pStyle w:val="Heading1"/>
        <w:rPr>
          <w:sz w:val="22"/>
          <w:szCs w:val="22"/>
        </w:rPr>
      </w:pPr>
      <w:r w:rsidRPr="00E9455D">
        <w:rPr>
          <w:sz w:val="22"/>
          <w:szCs w:val="22"/>
        </w:rPr>
        <w:lastRenderedPageBreak/>
        <w:t xml:space="preserve">FIXED </w:t>
      </w:r>
      <w:r w:rsidR="00914864" w:rsidRPr="00E9455D">
        <w:rPr>
          <w:sz w:val="22"/>
          <w:szCs w:val="22"/>
        </w:rPr>
        <w:t xml:space="preserve">SEIR </w:t>
      </w:r>
      <w:r w:rsidRPr="00E9455D">
        <w:rPr>
          <w:sz w:val="22"/>
          <w:szCs w:val="22"/>
        </w:rPr>
        <w:t>PARAMETERS ACROSS MODELS</w:t>
      </w:r>
      <w:r w:rsidRPr="00E9455D">
        <w:rPr>
          <w:sz w:val="22"/>
          <w:szCs w:val="22"/>
        </w:rPr>
        <w:t xml:space="preserve"> AND COUNTRIES</w:t>
      </w:r>
    </w:p>
    <w:p w14:paraId="48A5F5BB" w14:textId="77777777" w:rsidR="00EB71BC" w:rsidRPr="00E9455D" w:rsidRDefault="00EB71BC" w:rsidP="005C18E0">
      <w:pPr>
        <w:tabs>
          <w:tab w:val="left" w:pos="3953"/>
          <w:tab w:val="left" w:pos="4897"/>
        </w:tabs>
        <w:spacing w:after="0" w:line="240" w:lineRule="auto"/>
        <w:ind w:left="120"/>
        <w:rPr>
          <w:rFonts w:ascii="Constantia" w:eastAsia="Times New Roman" w:hAnsi="Constantia" w:cs="Times New Roman"/>
          <w:lang w:eastAsia="en-GB"/>
        </w:rPr>
      </w:pP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3969"/>
        <w:gridCol w:w="3924"/>
      </w:tblGrid>
      <w:tr w:rsidR="00101E15" w:rsidRPr="00E9455D" w14:paraId="77E0216C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D99D10E" w14:textId="4B57510D" w:rsidR="008B60D4" w:rsidRPr="00E9455D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0F5E0FA" w14:textId="2D50FDEA" w:rsidR="008B60D4" w:rsidRPr="00E9455D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highlight w:val="yellow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Value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3C496F6" w14:textId="1729C756" w:rsidR="008B60D4" w:rsidRPr="00E9455D" w:rsidRDefault="008B60D4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Reference</w:t>
            </w:r>
          </w:p>
        </w:tc>
      </w:tr>
      <w:tr w:rsidR="004F7CC1" w:rsidRPr="00E9455D" w14:paraId="7A02A6CB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837C50" w14:textId="4522ED1F" w:rsidR="001608CB" w:rsidRPr="00E9455D" w:rsidRDefault="00101E15" w:rsidP="00E9455D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081AF9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Length of simulation</w:t>
            </w: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44E754" w14:textId="2011D931" w:rsidR="001608CB" w:rsidRPr="00E9455D" w:rsidRDefault="00101E15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365</w:t>
            </w:r>
            <w:r w:rsidR="00914864" w:rsidRPr="00E9455D">
              <w:rPr>
                <w:rFonts w:ascii="Constantia" w:eastAsia="Times New Roman" w:hAnsi="Constantia" w:cs="Times New Roman"/>
                <w:lang w:eastAsia="en-GB"/>
              </w:rPr>
              <w:t xml:space="preserve">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6B21F7" w14:textId="5495B0DF" w:rsidR="001608CB" w:rsidRPr="00E9455D" w:rsidRDefault="00101E15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Assumed</w:t>
            </w:r>
          </w:p>
        </w:tc>
      </w:tr>
      <w:tr w:rsidR="004F7CC1" w:rsidRPr="00E9455D" w14:paraId="0DE78E00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7AE5F1" w14:textId="2AF40319" w:rsidR="001608CB" w:rsidRPr="00E9455D" w:rsidRDefault="00914864" w:rsidP="00E9455D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T</w:t>
            </w: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ime sliding window step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44204" w14:textId="1EADE350" w:rsidR="001608CB" w:rsidRPr="00E9455D" w:rsidRDefault="001608CB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081AF9">
              <w:rPr>
                <w:rFonts w:ascii="Constantia" w:eastAsia="Times New Roman" w:hAnsi="Constantia" w:cs="Times New Roman"/>
                <w:lang w:eastAsia="en-GB"/>
              </w:rPr>
              <w:t>0.1</w:t>
            </w:r>
            <w:r w:rsidR="00914864" w:rsidRPr="00E9455D">
              <w:rPr>
                <w:rFonts w:ascii="Constantia" w:eastAsia="Times New Roman" w:hAnsi="Constantia" w:cs="Times New Roman"/>
                <w:lang w:eastAsia="en-GB"/>
              </w:rPr>
              <w:t xml:space="preserve">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F569C6" w14:textId="29665060" w:rsidR="001608CB" w:rsidRPr="00E9455D" w:rsidRDefault="00914864" w:rsidP="001608C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Assumed</w:t>
            </w:r>
          </w:p>
        </w:tc>
      </w:tr>
      <w:tr w:rsidR="00101E15" w:rsidRPr="00E9455D" w14:paraId="6A227B7A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5A3C6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Mean Incubation Period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8CC95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4.6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D27F4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Estimated to be 5.1 days (</w:t>
            </w:r>
            <w:hyperlink r:id="rId4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Linton et al.</w:t>
              </w:r>
            </w:hyperlink>
            <w:r w:rsidRPr="00AD18BF">
              <w:rPr>
                <w:rFonts w:ascii="Constantia" w:eastAsia="Times New Roman" w:hAnsi="Constantia" w:cs="Times New Roman"/>
                <w:lang w:eastAsia="en-GB"/>
              </w:rPr>
              <w:t>; </w:t>
            </w:r>
            <w:hyperlink r:id="rId5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Li et al.</w:t>
              </w:r>
            </w:hyperlink>
            <w:r w:rsidRPr="00AD18BF">
              <w:rPr>
                <w:rFonts w:ascii="Constantia" w:eastAsia="Times New Roman" w:hAnsi="Constantia" w:cs="Times New Roman"/>
                <w:lang w:eastAsia="en-GB"/>
              </w:rPr>
              <w:t> The last 0.5 days are included in the I_MILD and I_CASE states to capture pre-symptomatic infectivity</w:t>
            </w:r>
          </w:p>
        </w:tc>
      </w:tr>
      <w:tr w:rsidR="00101E15" w:rsidRPr="00E9455D" w14:paraId="2990E813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7EE3B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Generation Time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B3164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6.75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288A4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hyperlink r:id="rId6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Bi et al</w:t>
              </w:r>
            </w:hyperlink>
          </w:p>
        </w:tc>
      </w:tr>
      <w:tr w:rsidR="00101E15" w:rsidRPr="00E9455D" w14:paraId="32C21302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3FB57" w14:textId="220DE5AC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Mean Duration in </w:t>
            </w:r>
            <w:r w:rsidR="00914864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Mild Infection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E1BA8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2.1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8012D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Incorporates 0.5 days of infectiousness prior to symptoms; with parameters below ~95% of all infections are mild. In combination with mean duration in I_CASE this gives a mean generation time as above</w:t>
            </w:r>
          </w:p>
        </w:tc>
      </w:tr>
      <w:tr w:rsidR="00101E15" w:rsidRPr="00E9455D" w14:paraId="29AEEFF3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010B6" w14:textId="6123F014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Mean Duration in </w:t>
            </w:r>
            <w:r w:rsidR="004F7CC1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Infection case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DFFEB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4.5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FA021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Mean onset-to-admission of 4 days. Values in the literature range from 1.2 to 12 days. Includes 0.5 days of infectiousness prior to symptom onset</w:t>
            </w:r>
          </w:p>
        </w:tc>
      </w:tr>
      <w:tr w:rsidR="00101E15" w:rsidRPr="00E9455D" w14:paraId="3A136825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80E93" w14:textId="0D513509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Mean Duration of Hospitalisation for non-critical Cases if survive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3FA4F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9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6B1E4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Median value from five studies (</w:t>
            </w:r>
            <w:proofErr w:type="spellStart"/>
            <w:r w:rsidRPr="00AD18BF">
              <w:rPr>
                <w:rFonts w:ascii="Constantia" w:eastAsia="Times New Roman" w:hAnsi="Constantia" w:cs="Times New Roman"/>
                <w:lang w:eastAsia="en-GB"/>
              </w:rPr>
              <w:fldChar w:fldCharType="begin"/>
            </w:r>
            <w:r w:rsidRPr="00AD18BF">
              <w:rPr>
                <w:rFonts w:ascii="Constantia" w:eastAsia="Times New Roman" w:hAnsi="Constantia" w:cs="Times New Roman"/>
                <w:lang w:eastAsia="en-GB"/>
              </w:rPr>
              <w:instrText xml:space="preserve"> HYPERLINK "https://www.medrxiv.org/content/10.1101/2020.04.17.20069724v4" </w:instrText>
            </w:r>
            <w:r w:rsidRPr="00AD18BF">
              <w:rPr>
                <w:rFonts w:ascii="Constantia" w:eastAsia="Times New Roman" w:hAnsi="Constantia" w:cs="Times New Roman"/>
                <w:lang w:eastAsia="en-GB"/>
              </w:rPr>
              <w:fldChar w:fldCharType="separate"/>
            </w:r>
            <w:r w:rsidRPr="00AD18BF">
              <w:rPr>
                <w:rFonts w:ascii="Constantia" w:eastAsia="Times New Roman" w:hAnsi="Constantia" w:cs="Times New Roman"/>
                <w:u w:val="single"/>
                <w:lang w:eastAsia="en-GB"/>
              </w:rPr>
              <w:t>Sreevalsan</w:t>
            </w:r>
            <w:proofErr w:type="spellEnd"/>
            <w:r w:rsidRPr="00AD18BF">
              <w:rPr>
                <w:rFonts w:ascii="Constantia" w:eastAsia="Times New Roman" w:hAnsi="Constantia" w:cs="Times New Roman"/>
                <w:u w:val="single"/>
                <w:lang w:eastAsia="en-GB"/>
              </w:rPr>
              <w:t>-Nair et al.</w:t>
            </w:r>
            <w:r w:rsidRPr="00AD18BF">
              <w:rPr>
                <w:rFonts w:ascii="Constantia" w:eastAsia="Times New Roman" w:hAnsi="Constantia" w:cs="Times New Roman"/>
                <w:lang w:eastAsia="en-GB"/>
              </w:rPr>
              <w:fldChar w:fldCharType="end"/>
            </w:r>
            <w:r w:rsidRPr="00AD18BF">
              <w:rPr>
                <w:rFonts w:ascii="Constantia" w:eastAsia="Times New Roman" w:hAnsi="Constantia" w:cs="Times New Roman"/>
                <w:lang w:eastAsia="en-GB"/>
              </w:rPr>
              <w:t>, </w:t>
            </w:r>
            <w:hyperlink r:id="rId7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Haw et al.</w:t>
              </w:r>
            </w:hyperlink>
            <w:r w:rsidRPr="00AD18BF">
              <w:rPr>
                <w:rFonts w:ascii="Constantia" w:eastAsia="Times New Roman" w:hAnsi="Constantia" w:cs="Times New Roman"/>
                <w:lang w:eastAsia="en-GB"/>
              </w:rPr>
              <w:t>, </w:t>
            </w:r>
            <w:hyperlink r:id="rId8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Hawryluk et al.</w:t>
              </w:r>
            </w:hyperlink>
            <w:r w:rsidRPr="00AD18BF">
              <w:rPr>
                <w:rFonts w:ascii="Constantia" w:eastAsia="Times New Roman" w:hAnsi="Constantia" w:cs="Times New Roman"/>
                <w:lang w:eastAsia="en-GB"/>
              </w:rPr>
              <w:t>, </w:t>
            </w:r>
            <w:hyperlink r:id="rId9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Oliveira et al.</w:t>
              </w:r>
            </w:hyperlink>
            <w:r w:rsidRPr="00AD18BF">
              <w:rPr>
                <w:rFonts w:ascii="Constantia" w:eastAsia="Times New Roman" w:hAnsi="Constantia" w:cs="Times New Roman"/>
                <w:lang w:eastAsia="en-GB"/>
              </w:rPr>
              <w:t>, South African COVID-19 Modelling Consortium). Range from 8-15 days.</w:t>
            </w:r>
          </w:p>
        </w:tc>
      </w:tr>
      <w:tr w:rsidR="00101E15" w:rsidRPr="00E9455D" w14:paraId="27522B01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F3800" w14:textId="7F6C5349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Mean Duration of Hospitalisation for non-critical Cases if die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40256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9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68C5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As above</w:t>
            </w:r>
          </w:p>
        </w:tc>
      </w:tr>
      <w:tr w:rsidR="00101E15" w:rsidRPr="00E9455D" w14:paraId="6769B450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88C40" w14:textId="79C4207C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Mean duration of Critical Care  if survive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92047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14.8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84A5D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Mean duration in ICU of 13.3 days </w:t>
            </w:r>
            <w:hyperlink r:id="rId10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Pritchard et al.</w:t>
              </w:r>
            </w:hyperlink>
            <w:r w:rsidRPr="00AD18BF">
              <w:rPr>
                <w:rFonts w:ascii="Constantia" w:eastAsia="Times New Roman" w:hAnsi="Constantia" w:cs="Times New Roman"/>
                <w:lang w:eastAsia="en-GB"/>
              </w:rPr>
              <w:t>. Ratio of duration in critical care if die: duration in critical care if survive of 0.75 and 60.1% probability of survival in ICU (</w:t>
            </w:r>
            <w:hyperlink r:id="rId11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ICNARC report</w:t>
              </w:r>
            </w:hyperlink>
            <w:r w:rsidRPr="00AD18BF">
              <w:rPr>
                <w:rFonts w:ascii="Constantia" w:eastAsia="Times New Roman" w:hAnsi="Constantia" w:cs="Times New Roman"/>
                <w:lang w:eastAsia="en-GB"/>
              </w:rPr>
              <w:t>, from UK data, 16 October 2020)</w:t>
            </w:r>
          </w:p>
        </w:tc>
      </w:tr>
      <w:tr w:rsidR="00101E15" w:rsidRPr="00E9455D" w14:paraId="56886320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75BCB" w14:textId="741F36BF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Mean duration of Critical Care if die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968D1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11.1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6ED3F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Mean duration in ICU of 13.3 days </w:t>
            </w:r>
            <w:hyperlink r:id="rId12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Pritchard et al.</w:t>
              </w:r>
            </w:hyperlink>
            <w:r w:rsidRPr="00AD18BF">
              <w:rPr>
                <w:rFonts w:ascii="Constantia" w:eastAsia="Times New Roman" w:hAnsi="Constantia" w:cs="Times New Roman"/>
                <w:lang w:eastAsia="en-GB"/>
              </w:rPr>
              <w:t>. Ratio of duration in critical care if die: duration in critical care if survive of 0.75 and 60.1% probability of survival in ICU (</w:t>
            </w:r>
            <w:hyperlink r:id="rId13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ICNARC report</w:t>
              </w:r>
            </w:hyperlink>
            <w:r w:rsidRPr="00AD18BF">
              <w:rPr>
                <w:rFonts w:ascii="Constantia" w:eastAsia="Times New Roman" w:hAnsi="Constantia" w:cs="Times New Roman"/>
                <w:lang w:eastAsia="en-GB"/>
              </w:rPr>
              <w:t>, from UK data, 16 October 2020)</w:t>
            </w:r>
          </w:p>
        </w:tc>
      </w:tr>
      <w:tr w:rsidR="00101E15" w:rsidRPr="00E9455D" w14:paraId="3506D499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FA947" w14:textId="6C842768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Mean duration of Stepdown post ICU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DDCCA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3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BFC9C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Working assumption based on unpublished UK data</w:t>
            </w:r>
          </w:p>
        </w:tc>
      </w:tr>
      <w:tr w:rsidR="00101E15" w:rsidRPr="00E9455D" w14:paraId="5CB93E04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6C8F2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Mean duration of hospitalisation if require ICU but do not receive it and die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E42D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1 day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95A47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Working assumption</w:t>
            </w:r>
          </w:p>
        </w:tc>
      </w:tr>
      <w:tr w:rsidR="00101E15" w:rsidRPr="00E9455D" w14:paraId="438FE6CE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D12B1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Mean duration of hospitalisation if require ICU but do not receive it and survive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2F814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7.4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3E0B2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Working assumption (Half duration of ICU and survive)</w:t>
            </w:r>
          </w:p>
        </w:tc>
      </w:tr>
      <w:tr w:rsidR="00101E15" w:rsidRPr="00E9455D" w14:paraId="71B0D97E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63406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Mean duration of hospitalisation if require Oxygen but do not receive it and die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66CB8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4.5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5C4EF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Working assumption (Half duration of Oxygen and die)</w:t>
            </w:r>
          </w:p>
        </w:tc>
      </w:tr>
      <w:tr w:rsidR="00101E15" w:rsidRPr="00E9455D" w14:paraId="5A7CDAEA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49A5B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Mean duration of hospitalisation if require Oxygen but do not receive it and survive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257F8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4.5 days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5A6CD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Working assumption (Half duration of ICU and survive)</w:t>
            </w:r>
          </w:p>
        </w:tc>
      </w:tr>
      <w:tr w:rsidR="00101E15" w:rsidRPr="00E9455D" w14:paraId="134B2486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7380D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Probability of death if require critical care but do not receive it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F38E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95%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58E90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Working assumption based on expert clinical opinion</w:t>
            </w:r>
          </w:p>
        </w:tc>
      </w:tr>
      <w:tr w:rsidR="00101E15" w:rsidRPr="00E9455D" w14:paraId="7F09D2F1" w14:textId="77777777" w:rsidTr="00E9455D">
        <w:trPr>
          <w:trHeight w:val="57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4E5F9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Probability of death if require hospitalisation but do not receive it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74B43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60%</w:t>
            </w:r>
          </w:p>
        </w:tc>
        <w:tc>
          <w:tcPr>
            <w:tcW w:w="3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F1FF6" w14:textId="77777777" w:rsidR="004B34B2" w:rsidRPr="00AD18BF" w:rsidRDefault="004B34B2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Working assumption based on expert clinical opinion</w:t>
            </w:r>
          </w:p>
        </w:tc>
      </w:tr>
    </w:tbl>
    <w:p w14:paraId="6A79413A" w14:textId="77777777" w:rsidR="00914864" w:rsidRPr="00E9455D" w:rsidRDefault="00914864" w:rsidP="00914864"/>
    <w:p w14:paraId="46B75471" w14:textId="77777777" w:rsidR="00E9455D" w:rsidRDefault="00E9455D" w:rsidP="00914864">
      <w:pPr>
        <w:pStyle w:val="Heading1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F82F9FB" w14:textId="786B4808" w:rsidR="00914864" w:rsidRPr="00E9455D" w:rsidRDefault="00914864" w:rsidP="00914864">
      <w:pPr>
        <w:pStyle w:val="Heading1"/>
        <w:rPr>
          <w:sz w:val="22"/>
          <w:szCs w:val="22"/>
        </w:rPr>
      </w:pPr>
      <w:r w:rsidRPr="00E9455D">
        <w:rPr>
          <w:sz w:val="22"/>
          <w:szCs w:val="22"/>
        </w:rPr>
        <w:t xml:space="preserve">FIXED </w:t>
      </w:r>
      <w:r w:rsidRPr="00E9455D">
        <w:rPr>
          <w:sz w:val="22"/>
          <w:szCs w:val="22"/>
        </w:rPr>
        <w:t>VACCINE</w:t>
      </w:r>
      <w:r w:rsidRPr="00E9455D">
        <w:rPr>
          <w:sz w:val="22"/>
          <w:szCs w:val="22"/>
        </w:rPr>
        <w:t xml:space="preserve"> PARAMETERS ACROSS MODELS AND COUNTRIES</w:t>
      </w:r>
    </w:p>
    <w:p w14:paraId="4EBCD95D" w14:textId="77777777" w:rsidR="00914864" w:rsidRPr="00E9455D" w:rsidRDefault="00914864" w:rsidP="00914864">
      <w:pPr>
        <w:tabs>
          <w:tab w:val="left" w:pos="3953"/>
          <w:tab w:val="left" w:pos="4897"/>
        </w:tabs>
        <w:spacing w:after="0" w:line="240" w:lineRule="auto"/>
        <w:ind w:left="120"/>
        <w:rPr>
          <w:rFonts w:ascii="Constantia" w:eastAsia="Times New Roman" w:hAnsi="Constantia" w:cs="Times New Roman"/>
          <w:lang w:eastAsia="en-GB"/>
        </w:rPr>
      </w:pP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1560"/>
        <w:gridCol w:w="5483"/>
      </w:tblGrid>
      <w:tr w:rsidR="00914864" w:rsidRPr="00E9455D" w14:paraId="0CD5EEB8" w14:textId="77777777" w:rsidTr="00937ABF">
        <w:trPr>
          <w:trHeight w:val="11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DEBB40E" w14:textId="77777777" w:rsidR="00914864" w:rsidRPr="00E9455D" w:rsidRDefault="00914864" w:rsidP="009F3E7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6674CD0" w14:textId="77777777" w:rsidR="00914864" w:rsidRPr="00E9455D" w:rsidRDefault="00914864" w:rsidP="009F3E7B">
            <w:pPr>
              <w:spacing w:after="0" w:line="240" w:lineRule="auto"/>
              <w:rPr>
                <w:rFonts w:ascii="Constantia" w:eastAsia="Times New Roman" w:hAnsi="Constantia" w:cs="Times New Roman"/>
                <w:highlight w:val="yellow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Value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3FA853B" w14:textId="77777777" w:rsidR="00914864" w:rsidRPr="00E9455D" w:rsidRDefault="00914864" w:rsidP="009F3E7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Reference</w:t>
            </w:r>
          </w:p>
        </w:tc>
      </w:tr>
      <w:tr w:rsidR="00937ABF" w:rsidRPr="00E9455D" w14:paraId="663B4B24" w14:textId="77777777" w:rsidTr="00937ABF">
        <w:trPr>
          <w:trHeight w:val="11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C5FF97" w14:textId="57E853E6" w:rsidR="00EB71BC" w:rsidRPr="00E9455D" w:rsidRDefault="00914864" w:rsidP="00937ABF">
            <w:pPr>
              <w:tabs>
                <w:tab w:val="left" w:pos="3953"/>
                <w:tab w:val="left" w:pos="4897"/>
              </w:tabs>
              <w:spacing w:after="0" w:line="240" w:lineRule="auto"/>
              <w:ind w:left="120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Duration of vaccine </w:t>
            </w:r>
            <w:r w:rsidR="004F7CC1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immunity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EB172D" w14:textId="3D200CD4" w:rsidR="00EB71BC" w:rsidRPr="00E9455D" w:rsidRDefault="00E9455D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365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E4F297" w14:textId="0664D37E" w:rsidR="00EB71BC" w:rsidRPr="00E9455D" w:rsidRDefault="00E9455D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Assumed</w:t>
            </w:r>
          </w:p>
        </w:tc>
      </w:tr>
      <w:tr w:rsidR="00937ABF" w:rsidRPr="00E9455D" w14:paraId="62A3EFA7" w14:textId="77777777" w:rsidTr="00937ABF">
        <w:trPr>
          <w:trHeight w:val="11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AEE66A" w14:textId="06E782E3" w:rsidR="00EB71BC" w:rsidRPr="00E9455D" w:rsidRDefault="00937ABF" w:rsidP="00937ABF">
            <w:pPr>
              <w:tabs>
                <w:tab w:val="left" w:pos="3953"/>
                <w:tab w:val="left" w:pos="4897"/>
              </w:tabs>
              <w:spacing w:after="0" w:line="240" w:lineRule="auto"/>
              <w:ind w:left="120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V</w:t>
            </w:r>
            <w:r w:rsidR="00EB71BC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accine</w:t>
            </w: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</w:t>
            </w:r>
            <w:r w:rsidR="00EB71BC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efficacy</w:t>
            </w: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</w:t>
            </w:r>
            <w:r w:rsidR="00EB71BC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infection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CA5D9A" w14:textId="08FFA8B5" w:rsidR="00EB71BC" w:rsidRPr="00E9455D" w:rsidRDefault="00E9455D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60%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75C8C5" w14:textId="2C4D1B38" w:rsidR="00EB71BC" w:rsidRPr="00E9455D" w:rsidRDefault="00E9455D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Based on recent studies</w:t>
            </w:r>
          </w:p>
        </w:tc>
      </w:tr>
      <w:tr w:rsidR="00937ABF" w:rsidRPr="00E9455D" w14:paraId="7B32DD2E" w14:textId="77777777" w:rsidTr="00937ABF">
        <w:trPr>
          <w:trHeight w:val="11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04D01B" w14:textId="7A94FA41" w:rsidR="00EB71BC" w:rsidRPr="00E9455D" w:rsidRDefault="00937ABF" w:rsidP="00937ABF">
            <w:pPr>
              <w:tabs>
                <w:tab w:val="left" w:pos="3953"/>
                <w:tab w:val="left" w:pos="4897"/>
              </w:tabs>
              <w:spacing w:after="0" w:line="240" w:lineRule="auto"/>
              <w:ind w:left="120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V</w:t>
            </w:r>
            <w:r w:rsidR="00EB71BC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accine</w:t>
            </w: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</w:t>
            </w:r>
            <w:r w:rsidR="00EB71BC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efficacy</w:t>
            </w: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</w:t>
            </w:r>
            <w:r w:rsidR="00EB71BC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disease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B061CB" w14:textId="1D576CE1" w:rsidR="00EB71BC" w:rsidRPr="00E9455D" w:rsidRDefault="00E9455D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90%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A4753F" w14:textId="475E3374" w:rsidR="00EB71BC" w:rsidRPr="00E9455D" w:rsidRDefault="00E9455D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Based on recent studies</w:t>
            </w:r>
          </w:p>
        </w:tc>
      </w:tr>
      <w:tr w:rsidR="00937ABF" w:rsidRPr="00E9455D" w14:paraId="0838B8B8" w14:textId="77777777" w:rsidTr="00937ABF">
        <w:trPr>
          <w:trHeight w:val="11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B06A00" w14:textId="40518DDE" w:rsidR="00EB71BC" w:rsidRPr="00E9455D" w:rsidRDefault="00937ABF" w:rsidP="00937ABF">
            <w:pPr>
              <w:tabs>
                <w:tab w:val="left" w:pos="3953"/>
                <w:tab w:val="left" w:pos="4897"/>
              </w:tabs>
              <w:spacing w:after="0" w:line="240" w:lineRule="auto"/>
              <w:ind w:left="120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D</w:t>
            </w:r>
            <w:r w:rsidR="00EB71BC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ur</w:t>
            </w: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ation </w:t>
            </w:r>
            <w:r w:rsidR="00EB71BC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vaccine</w:t>
            </w:r>
            <w:r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</w:t>
            </w:r>
            <w:r w:rsidR="00EB71BC" w:rsidRPr="00E9455D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delay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DF4117" w14:textId="76CCAA41" w:rsidR="00EB71BC" w:rsidRPr="00E9455D" w:rsidRDefault="00914864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14 days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D0E6F3" w14:textId="5DE9CCF5" w:rsidR="00EB71BC" w:rsidRPr="00E9455D" w:rsidRDefault="00907293" w:rsidP="004B34B2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Based on recent studies</w:t>
            </w:r>
          </w:p>
        </w:tc>
      </w:tr>
    </w:tbl>
    <w:p w14:paraId="3C392E01" w14:textId="0BBE9E71" w:rsidR="008B60D4" w:rsidRPr="00E9455D" w:rsidRDefault="008B60D4" w:rsidP="00AD18BF">
      <w:pPr>
        <w:shd w:val="clear" w:color="auto" w:fill="FFFFFF"/>
        <w:spacing w:after="158" w:line="240" w:lineRule="auto"/>
        <w:outlineLvl w:val="2"/>
        <w:rPr>
          <w:rFonts w:ascii="Constantia" w:eastAsia="Times New Roman" w:hAnsi="Constantia" w:cs="Times New Roman"/>
          <w:lang w:eastAsia="en-GB"/>
        </w:rPr>
      </w:pPr>
    </w:p>
    <w:p w14:paraId="1608D4E3" w14:textId="77777777" w:rsidR="00E9455D" w:rsidRDefault="00E9455D" w:rsidP="00101E15">
      <w:pPr>
        <w:pStyle w:val="Heading1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6EE58B2" w14:textId="697DB154" w:rsidR="00AD18BF" w:rsidRPr="00E9455D" w:rsidRDefault="00101E15" w:rsidP="00101E15">
      <w:pPr>
        <w:pStyle w:val="Heading1"/>
        <w:rPr>
          <w:sz w:val="22"/>
          <w:szCs w:val="22"/>
        </w:rPr>
      </w:pPr>
      <w:r w:rsidRPr="00E9455D">
        <w:rPr>
          <w:sz w:val="22"/>
          <w:szCs w:val="22"/>
        </w:rPr>
        <w:t>AGE-SPECIFIC FIXED PARAMETERS ACROSS COUNTRIES AND MODELS</w:t>
      </w:r>
    </w:p>
    <w:tbl>
      <w:tblPr>
        <w:tblW w:w="130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2240"/>
        <w:gridCol w:w="2666"/>
        <w:gridCol w:w="2366"/>
        <w:gridCol w:w="2250"/>
        <w:gridCol w:w="2123"/>
      </w:tblGrid>
      <w:tr w:rsidR="00101E15" w:rsidRPr="00E9455D" w14:paraId="27AC7C86" w14:textId="77777777" w:rsidTr="00E9455D">
        <w:trPr>
          <w:trHeight w:val="20"/>
          <w:tblHeader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CD62E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Age-Group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591C2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Proportion of Infections Hospitalised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98E58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Proportion of hospitalised cases requiring critical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AAF13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Proportion of hospital deaths occurring in ICU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F5B92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Proportion of non-critical care cases dying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CD010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Proportion of critical care cases dying</w:t>
            </w:r>
          </w:p>
        </w:tc>
      </w:tr>
      <w:tr w:rsidR="00101E15" w:rsidRPr="00E9455D" w14:paraId="496F389A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1EF8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0 to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E04F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A25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BFA6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1AD0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22E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0.227</w:t>
            </w:r>
          </w:p>
        </w:tc>
      </w:tr>
      <w:tr w:rsidR="00101E15" w:rsidRPr="00E9455D" w14:paraId="7EC63185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B599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5 to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7DF8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7EFD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8560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A403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E2B7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0.252</w:t>
            </w:r>
          </w:p>
        </w:tc>
      </w:tr>
      <w:tr w:rsidR="00101E15" w:rsidRPr="00E9455D" w14:paraId="6F63C9D3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6AB7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10 to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D8AB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0549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92BB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E308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824A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0.281</w:t>
            </w:r>
          </w:p>
        </w:tc>
      </w:tr>
      <w:tr w:rsidR="00101E15" w:rsidRPr="00E9455D" w14:paraId="09AC9F41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2A0D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15 to 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1DF7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73710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868A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3DB0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BDB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0.413</w:t>
            </w:r>
          </w:p>
        </w:tc>
      </w:tr>
      <w:tr w:rsidR="00101E15" w:rsidRPr="00E9455D" w14:paraId="710C34EF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3EE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20 to 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7156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CFE3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0555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1B7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91EB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0.518</w:t>
            </w:r>
          </w:p>
        </w:tc>
      </w:tr>
      <w:tr w:rsidR="00101E15" w:rsidRPr="00E9455D" w14:paraId="33AEE691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7A89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25 to 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B74C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B107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384D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FD40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F759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0.573</w:t>
            </w:r>
          </w:p>
        </w:tc>
      </w:tr>
      <w:tr w:rsidR="00101E15" w:rsidRPr="00E9455D" w14:paraId="42B244B1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011C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30 to 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7F07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0DCE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72AF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7FD2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8911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0.576</w:t>
            </w:r>
          </w:p>
        </w:tc>
      </w:tr>
      <w:tr w:rsidR="00101E15" w:rsidRPr="00E9455D" w14:paraId="482C510F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21C8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35 to 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D6C4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F44E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2D70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F756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84FDB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0.543</w:t>
            </w:r>
          </w:p>
        </w:tc>
      </w:tr>
      <w:tr w:rsidR="00101E15" w:rsidRPr="00E9455D" w14:paraId="6E0637E4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E97B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40 to 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0586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CFF80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AA4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BC79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4C0D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0.494</w:t>
            </w:r>
          </w:p>
        </w:tc>
      </w:tr>
      <w:tr w:rsidR="00101E15" w:rsidRPr="00E9455D" w14:paraId="7B1DF7BD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B0C7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45 to 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9ED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C044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C185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E9C9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9542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0.447</w:t>
            </w:r>
          </w:p>
        </w:tc>
      </w:tr>
      <w:tr w:rsidR="00101E15" w:rsidRPr="00E9455D" w14:paraId="39992961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607D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50 to 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8B36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6610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4829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28DC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057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0.417</w:t>
            </w:r>
          </w:p>
        </w:tc>
      </w:tr>
      <w:tr w:rsidR="00101E15" w:rsidRPr="00E9455D" w14:paraId="1F34B4DB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539D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55 to 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8D18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A515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FBD7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45AE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B74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0.411</w:t>
            </w:r>
          </w:p>
        </w:tc>
      </w:tr>
      <w:tr w:rsidR="00101E15" w:rsidRPr="00E9455D" w14:paraId="2E04C993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AEBA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60 to 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F6B6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8A41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CC7E0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CA00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453E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0.443</w:t>
            </w:r>
          </w:p>
        </w:tc>
      </w:tr>
      <w:tr w:rsidR="00101E15" w:rsidRPr="00E9455D" w14:paraId="7C80A2CF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5C67A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65 to 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BE10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4B7E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054D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384DD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CD412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0.539</w:t>
            </w:r>
          </w:p>
        </w:tc>
      </w:tr>
      <w:tr w:rsidR="00101E15" w:rsidRPr="00E9455D" w14:paraId="7AC7CA98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2CB1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70 to 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6472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3E77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30989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18FD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A7A8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0.570</w:t>
            </w:r>
          </w:p>
        </w:tc>
      </w:tr>
      <w:tr w:rsidR="00101E15" w:rsidRPr="00E9455D" w14:paraId="74EA7E52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41F0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75 to 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657E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64FD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2DE8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FA39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349FF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0.643</w:t>
            </w:r>
          </w:p>
        </w:tc>
      </w:tr>
      <w:tr w:rsidR="00101E15" w:rsidRPr="00E9455D" w14:paraId="4AC9A015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02F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80+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72B86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D8833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EE22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77D11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5A8C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0.993</w:t>
            </w:r>
          </w:p>
        </w:tc>
      </w:tr>
      <w:tr w:rsidR="00101E15" w:rsidRPr="00E9455D" w14:paraId="3ECF890C" w14:textId="77777777" w:rsidTr="00E9455D">
        <w:trPr>
          <w:trHeight w:val="20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F16C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99F45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hyperlink r:id="rId14" w:history="1">
              <w:proofErr w:type="spellStart"/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Salje</w:t>
              </w:r>
              <w:proofErr w:type="spellEnd"/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 xml:space="preserve"> et al.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FDEC7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hyperlink r:id="rId15" w:history="1">
              <w:proofErr w:type="spellStart"/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Salje</w:t>
              </w:r>
              <w:proofErr w:type="spellEnd"/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 xml:space="preserve"> et al.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2416C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Assumed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4B0DE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Calculated from IFR in </w:t>
            </w:r>
            <w:hyperlink r:id="rId16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Report 34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1E5F4" w14:textId="77777777" w:rsidR="00AD18BF" w:rsidRPr="00AD18BF" w:rsidRDefault="00AD18BF" w:rsidP="005C18E0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lang w:eastAsia="en-GB"/>
              </w:rPr>
              <w:t>Calculated from IFR in </w:t>
            </w:r>
            <w:hyperlink r:id="rId17" w:history="1">
              <w:r w:rsidRPr="00AD18BF">
                <w:rPr>
                  <w:rFonts w:ascii="Constantia" w:eastAsia="Times New Roman" w:hAnsi="Constantia" w:cs="Times New Roman"/>
                  <w:u w:val="single"/>
                  <w:lang w:eastAsia="en-GB"/>
                </w:rPr>
                <w:t>Report 34</w:t>
              </w:r>
            </w:hyperlink>
          </w:p>
        </w:tc>
      </w:tr>
    </w:tbl>
    <w:p w14:paraId="35F8AB7F" w14:textId="6D047B9A" w:rsidR="00F80BA1" w:rsidRPr="00E9455D" w:rsidRDefault="00907293">
      <w:pPr>
        <w:rPr>
          <w:rFonts w:ascii="Constantia" w:hAnsi="Constantia"/>
        </w:rPr>
      </w:pPr>
    </w:p>
    <w:p w14:paraId="789CBADC" w14:textId="77777777" w:rsidR="00E9455D" w:rsidRDefault="00E9455D" w:rsidP="00101E15">
      <w:pPr>
        <w:pStyle w:val="Heading1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0886F1" w14:textId="5DF80995" w:rsidR="00EB71BC" w:rsidRPr="00E9455D" w:rsidRDefault="00EB71BC" w:rsidP="00101E15">
      <w:pPr>
        <w:pStyle w:val="Heading1"/>
        <w:rPr>
          <w:sz w:val="22"/>
          <w:szCs w:val="22"/>
        </w:rPr>
      </w:pPr>
      <w:r w:rsidRPr="00E9455D">
        <w:rPr>
          <w:sz w:val="22"/>
          <w:szCs w:val="22"/>
        </w:rPr>
        <w:t xml:space="preserve">FIXED PARAMETERS </w:t>
      </w:r>
      <w:r w:rsidRPr="00E9455D">
        <w:rPr>
          <w:sz w:val="22"/>
          <w:szCs w:val="22"/>
        </w:rPr>
        <w:t>WITHIN</w:t>
      </w:r>
      <w:r w:rsidRPr="00E9455D">
        <w:rPr>
          <w:sz w:val="22"/>
          <w:szCs w:val="22"/>
        </w:rPr>
        <w:t xml:space="preserve"> </w:t>
      </w:r>
      <w:r w:rsidR="00907293">
        <w:rPr>
          <w:sz w:val="22"/>
          <w:szCs w:val="22"/>
        </w:rPr>
        <w:t xml:space="preserve">EACH </w:t>
      </w:r>
      <w:r w:rsidRPr="00E9455D">
        <w:rPr>
          <w:sz w:val="22"/>
          <w:szCs w:val="22"/>
        </w:rPr>
        <w:t xml:space="preserve">COUNTRY </w:t>
      </w:r>
    </w:p>
    <w:tbl>
      <w:tblPr>
        <w:tblW w:w="127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4111"/>
        <w:gridCol w:w="5483"/>
      </w:tblGrid>
      <w:tr w:rsidR="00101E15" w:rsidRPr="00E9455D" w14:paraId="3EE6CC1B" w14:textId="77777777" w:rsidTr="00531858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C943128" w14:textId="77777777" w:rsidR="00EB71BC" w:rsidRPr="00E9455D" w:rsidRDefault="00EB71BC" w:rsidP="009F3E7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For each country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C2EA90B" w14:textId="77777777" w:rsidR="00EB71BC" w:rsidRPr="00E9455D" w:rsidRDefault="00EB71BC" w:rsidP="009F3E7B">
            <w:pPr>
              <w:spacing w:after="0" w:line="240" w:lineRule="auto"/>
              <w:rPr>
                <w:rFonts w:ascii="Constantia" w:eastAsia="Times New Roman" w:hAnsi="Constantia" w:cs="Times New Roman"/>
                <w:highlight w:val="yellow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Value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517D8D9" w14:textId="77777777" w:rsidR="00EB71BC" w:rsidRPr="00E9455D" w:rsidRDefault="00EB71BC" w:rsidP="009F3E7B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AD18BF">
              <w:rPr>
                <w:rFonts w:ascii="Constantia" w:eastAsia="Times New Roman" w:hAnsi="Constantia" w:cs="Times New Roman"/>
                <w:b/>
                <w:bCs/>
                <w:lang w:eastAsia="en-GB"/>
              </w:rPr>
              <w:t>Reference</w:t>
            </w:r>
          </w:p>
        </w:tc>
      </w:tr>
      <w:tr w:rsidR="00101E15" w:rsidRPr="00E9455D" w14:paraId="0CED0A7F" w14:textId="77777777" w:rsidTr="00531858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080379" w14:textId="256CBAEE" w:rsidR="00EB71BC" w:rsidRPr="00E9455D" w:rsidRDefault="00EB71BC" w:rsidP="00EB71BC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hAnsi="Constantia"/>
                <w:i/>
                <w:iCs/>
              </w:rPr>
              <w:t xml:space="preserve">Population 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97A0995" w14:textId="4F310411" w:rsidR="00EB71BC" w:rsidRPr="00531858" w:rsidRDefault="00531858" w:rsidP="00EB71BC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>
              <w:rPr>
                <w:rFonts w:ascii="Constantia" w:eastAsia="Times New Roman" w:hAnsi="Constantia" w:cs="Times New Roman"/>
                <w:lang w:eastAsia="en-GB"/>
              </w:rPr>
              <w:t>By age groups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9CE5DB0" w14:textId="16FF549A" w:rsidR="00531858" w:rsidRPr="00531858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hyperlink r:id="rId18" w:history="1">
              <w:r w:rsidRPr="0021296B">
                <w:rPr>
                  <w:rStyle w:val="Hyperlink"/>
                  <w:rFonts w:ascii="Constantia" w:eastAsia="Times New Roman" w:hAnsi="Constantia" w:cs="Times New Roman"/>
                  <w:lang w:eastAsia="en-GB"/>
                </w:rPr>
                <w:t>https://mrc-ide.github.io/squire</w:t>
              </w:r>
            </w:hyperlink>
          </w:p>
        </w:tc>
      </w:tr>
      <w:tr w:rsidR="00101E15" w:rsidRPr="00E9455D" w14:paraId="79B5C4DC" w14:textId="77777777" w:rsidTr="00531858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C2D1E7" w14:textId="574BF076" w:rsidR="00EB71BC" w:rsidRPr="00531858" w:rsidRDefault="00EB71BC" w:rsidP="00EB71BC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531858">
              <w:rPr>
                <w:rFonts w:ascii="Constantia" w:hAnsi="Constantia"/>
                <w:i/>
                <w:iCs/>
              </w:rPr>
              <w:t>Susceptible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CFB7C49" w14:textId="1CD4A370" w:rsidR="00EB71BC" w:rsidRPr="00531858" w:rsidRDefault="00531858" w:rsidP="00EB71BC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531858">
              <w:rPr>
                <w:rFonts w:ascii="Constantia" w:eastAsia="Times New Roman" w:hAnsi="Constantia" w:cs="Times New Roman"/>
                <w:lang w:eastAsia="en-GB"/>
              </w:rPr>
              <w:t>Population – number of already vaccinated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6DBCF8A" w14:textId="77777777" w:rsidR="00EB71BC" w:rsidRPr="00E9455D" w:rsidRDefault="00EB71BC" w:rsidP="00EB71BC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</w:p>
        </w:tc>
      </w:tr>
      <w:tr w:rsidR="00531858" w:rsidRPr="00E9455D" w14:paraId="1C42CAED" w14:textId="77777777" w:rsidTr="00531858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508FFE" w14:textId="1754BAF5" w:rsidR="00531858" w:rsidRPr="00E9455D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hAnsi="Constantia"/>
                <w:i/>
                <w:iCs/>
              </w:rPr>
              <w:t>Mixing matrix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EB0A417" w14:textId="0828556C" w:rsidR="00531858" w:rsidRPr="00531858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>
              <w:rPr>
                <w:rFonts w:ascii="Constantia" w:eastAsia="Times New Roman" w:hAnsi="Constantia" w:cs="Times New Roman"/>
                <w:lang w:eastAsia="en-GB"/>
              </w:rPr>
              <w:t>Matrix by age groups with p</w:t>
            </w:r>
            <w:r w:rsidRPr="00531858">
              <w:rPr>
                <w:rFonts w:ascii="Constantia" w:eastAsia="Times New Roman" w:hAnsi="Constantia" w:cs="Times New Roman"/>
                <w:lang w:eastAsia="en-GB"/>
              </w:rPr>
              <w:t xml:space="preserve">robability of contact between </w:t>
            </w:r>
            <w:r>
              <w:rPr>
                <w:rFonts w:ascii="Constantia" w:eastAsia="Times New Roman" w:hAnsi="Constantia" w:cs="Times New Roman"/>
                <w:lang w:eastAsia="en-GB"/>
              </w:rPr>
              <w:t>them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993F59F" w14:textId="5C5D4713" w:rsidR="00531858" w:rsidRPr="00E9455D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hyperlink r:id="rId19" w:history="1">
              <w:r w:rsidRPr="0021296B">
                <w:rPr>
                  <w:rStyle w:val="Hyperlink"/>
                  <w:rFonts w:ascii="Constantia" w:eastAsia="Times New Roman" w:hAnsi="Constantia" w:cs="Times New Roman"/>
                  <w:lang w:eastAsia="en-GB"/>
                </w:rPr>
                <w:t>https://mrc-ide.github.io/squire</w:t>
              </w:r>
            </w:hyperlink>
          </w:p>
        </w:tc>
      </w:tr>
      <w:tr w:rsidR="00531858" w:rsidRPr="00E9455D" w14:paraId="6F848E14" w14:textId="77777777" w:rsidTr="00531858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539E8E" w14:textId="797C6460" w:rsidR="00531858" w:rsidRPr="00E9455D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E9455D">
              <w:rPr>
                <w:rFonts w:ascii="Constantia" w:hAnsi="Constantia"/>
                <w:i/>
                <w:iCs/>
              </w:rPr>
              <w:t>S</w:t>
            </w:r>
            <w:r w:rsidRPr="00E9455D">
              <w:rPr>
                <w:rFonts w:ascii="Constantia" w:hAnsi="Constantia"/>
                <w:i/>
                <w:iCs/>
              </w:rPr>
              <w:t>eeding</w:t>
            </w:r>
            <w:r>
              <w:rPr>
                <w:rFonts w:ascii="Constantia" w:hAnsi="Constantia"/>
                <w:i/>
                <w:iCs/>
              </w:rPr>
              <w:t xml:space="preserve"> </w:t>
            </w:r>
            <w:r w:rsidRPr="00E9455D">
              <w:rPr>
                <w:rFonts w:ascii="Constantia" w:hAnsi="Constantia"/>
                <w:i/>
                <w:iCs/>
              </w:rPr>
              <w:t>cases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CF68FD2" w14:textId="5D5ACE56" w:rsidR="00531858" w:rsidRPr="00E9455D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 w:rsidRPr="00E9455D">
              <w:rPr>
                <w:rFonts w:ascii="Constantia" w:eastAsia="Times New Roman" w:hAnsi="Constantia" w:cs="Times New Roman"/>
                <w:lang w:eastAsia="en-GB"/>
              </w:rPr>
              <w:t>According to population size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9F823DC" w14:textId="4BC60042" w:rsidR="00531858" w:rsidRPr="00E9455D" w:rsidRDefault="00531858" w:rsidP="00531858">
            <w:pPr>
              <w:spacing w:after="0" w:line="240" w:lineRule="auto"/>
              <w:rPr>
                <w:rFonts w:ascii="Constantia" w:hAnsi="Constantia"/>
              </w:rPr>
            </w:pPr>
            <w:r w:rsidRPr="00E9455D">
              <w:rPr>
                <w:rFonts w:ascii="Constantia" w:hAnsi="Constantia"/>
              </w:rPr>
              <w:t>Initial number of cases seeding the epidemic</w:t>
            </w:r>
          </w:p>
        </w:tc>
      </w:tr>
      <w:tr w:rsidR="00531858" w:rsidRPr="00E9455D" w14:paraId="7CCA16B5" w14:textId="77777777" w:rsidTr="00531858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777782" w14:textId="0A631B8B" w:rsidR="00531858" w:rsidRPr="00E9455D" w:rsidRDefault="00531858" w:rsidP="00531858">
            <w:pPr>
              <w:spacing w:after="0" w:line="240" w:lineRule="auto"/>
              <w:rPr>
                <w:rFonts w:ascii="Constantia" w:hAnsi="Constantia"/>
                <w:i/>
                <w:iCs/>
              </w:rPr>
            </w:pPr>
            <w:r w:rsidRPr="002A0FEA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H</w:t>
            </w:r>
            <w:r w:rsidRPr="002A0FEA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osp</w:t>
            </w:r>
            <w:r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ital </w:t>
            </w:r>
            <w:r w:rsidRPr="002A0FEA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bed</w:t>
            </w:r>
            <w:r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</w:t>
            </w:r>
            <w:r w:rsidRPr="002A0FEA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capacity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44307A7C" w14:textId="1A9BB573" w:rsidR="00531858" w:rsidRPr="00531858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lang w:eastAsia="en-GB"/>
              </w:rPr>
            </w:pPr>
            <w:r>
              <w:rPr>
                <w:rFonts w:ascii="Constantia" w:eastAsia="Times New Roman" w:hAnsi="Constantia" w:cs="Times New Roman"/>
                <w:lang w:eastAsia="en-GB"/>
              </w:rPr>
              <w:t>By country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D7D319" w14:textId="2455D878" w:rsidR="00531858" w:rsidRPr="00E9455D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E9455D">
              <w:rPr>
                <w:rFonts w:ascii="Constantia" w:hAnsi="Constantia"/>
              </w:rPr>
              <w:t>General bed capacity</w:t>
            </w:r>
            <w:r>
              <w:rPr>
                <w:rFonts w:ascii="Constantia" w:hAnsi="Constantia"/>
              </w:rPr>
              <w:t xml:space="preserve">. </w:t>
            </w:r>
            <w:hyperlink r:id="rId20" w:history="1">
              <w:r w:rsidRPr="0021296B">
                <w:rPr>
                  <w:rStyle w:val="Hyperlink"/>
                  <w:rFonts w:ascii="Constantia" w:eastAsia="Times New Roman" w:hAnsi="Constantia" w:cs="Times New Roman"/>
                  <w:lang w:eastAsia="en-GB"/>
                </w:rPr>
                <w:t>https://mrc-ide.github.io/squire</w:t>
              </w:r>
            </w:hyperlink>
          </w:p>
        </w:tc>
      </w:tr>
      <w:tr w:rsidR="00531858" w:rsidRPr="00E9455D" w14:paraId="4CC8FD32" w14:textId="77777777" w:rsidTr="00531858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12262C" w14:textId="2D3E7E7F" w:rsidR="00531858" w:rsidRPr="00E9455D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i/>
                <w:iCs/>
                <w:lang w:eastAsia="en-GB"/>
              </w:rPr>
            </w:pPr>
            <w:r w:rsidRPr="002A0FEA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ICU</w:t>
            </w:r>
            <w:r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</w:t>
            </w:r>
            <w:r w:rsidRPr="002A0FEA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bed</w:t>
            </w:r>
            <w:r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 xml:space="preserve"> </w:t>
            </w:r>
            <w:r w:rsidRPr="002A0FEA">
              <w:rPr>
                <w:rFonts w:ascii="Constantia" w:eastAsia="Times New Roman" w:hAnsi="Constantia" w:cs="Times New Roman"/>
                <w:i/>
                <w:iCs/>
                <w:lang w:eastAsia="en-GB"/>
              </w:rPr>
              <w:t>capacity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34F084D" w14:textId="0311C553" w:rsidR="00531858" w:rsidRPr="00E9455D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>
              <w:rPr>
                <w:rFonts w:ascii="Constantia" w:eastAsia="Times New Roman" w:hAnsi="Constantia" w:cs="Times New Roman"/>
                <w:lang w:eastAsia="en-GB"/>
              </w:rPr>
              <w:t>By country</w:t>
            </w:r>
          </w:p>
        </w:tc>
        <w:tc>
          <w:tcPr>
            <w:tcW w:w="54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FE5329" w14:textId="017C8769" w:rsidR="00531858" w:rsidRPr="00E9455D" w:rsidRDefault="00531858" w:rsidP="00531858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lang w:eastAsia="en-GB"/>
              </w:rPr>
            </w:pPr>
            <w:r w:rsidRPr="00E9455D">
              <w:rPr>
                <w:rFonts w:ascii="Constantia" w:hAnsi="Constantia"/>
              </w:rPr>
              <w:t>ICU bed capacity</w:t>
            </w:r>
            <w:r>
              <w:rPr>
                <w:rFonts w:ascii="Constantia" w:hAnsi="Constantia"/>
              </w:rPr>
              <w:t xml:space="preserve">. </w:t>
            </w:r>
            <w:hyperlink r:id="rId21" w:history="1">
              <w:r w:rsidRPr="0021296B">
                <w:rPr>
                  <w:rStyle w:val="Hyperlink"/>
                  <w:rFonts w:ascii="Constantia" w:eastAsia="Times New Roman" w:hAnsi="Constantia" w:cs="Times New Roman"/>
                  <w:lang w:eastAsia="en-GB"/>
                </w:rPr>
                <w:t>https://mrc-ide.github.io/squire</w:t>
              </w:r>
            </w:hyperlink>
          </w:p>
        </w:tc>
      </w:tr>
    </w:tbl>
    <w:p w14:paraId="73BEA9A0" w14:textId="0C865D2C" w:rsidR="002A0FEA" w:rsidRPr="00E9455D" w:rsidRDefault="002A0FEA">
      <w:pPr>
        <w:rPr>
          <w:rFonts w:ascii="Constantia" w:hAnsi="Constantia"/>
        </w:rPr>
      </w:pPr>
    </w:p>
    <w:sectPr w:rsidR="002A0FEA" w:rsidRPr="00E9455D" w:rsidSect="00AD18B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BF"/>
    <w:rsid w:val="00003522"/>
    <w:rsid w:val="000F5187"/>
    <w:rsid w:val="00101E15"/>
    <w:rsid w:val="001608CB"/>
    <w:rsid w:val="002A0FEA"/>
    <w:rsid w:val="003B1F08"/>
    <w:rsid w:val="004B34B2"/>
    <w:rsid w:val="004B36A5"/>
    <w:rsid w:val="004F7CC1"/>
    <w:rsid w:val="00512097"/>
    <w:rsid w:val="00531858"/>
    <w:rsid w:val="00577940"/>
    <w:rsid w:val="005C18E0"/>
    <w:rsid w:val="008A40C9"/>
    <w:rsid w:val="008B60D4"/>
    <w:rsid w:val="00907293"/>
    <w:rsid w:val="00914864"/>
    <w:rsid w:val="00937ABF"/>
    <w:rsid w:val="00AD18BF"/>
    <w:rsid w:val="00DD0645"/>
    <w:rsid w:val="00E20E2E"/>
    <w:rsid w:val="00E9455D"/>
    <w:rsid w:val="00EB71BC"/>
    <w:rsid w:val="00F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689F"/>
  <w15:chartTrackingRefBased/>
  <w15:docId w15:val="{34354BE1-9846-45C7-987F-A9F0E93D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01E15"/>
    <w:pPr>
      <w:shd w:val="clear" w:color="auto" w:fill="FFFFFF"/>
      <w:spacing w:after="158" w:line="240" w:lineRule="auto"/>
      <w:outlineLvl w:val="0"/>
    </w:pPr>
    <w:rPr>
      <w:rFonts w:ascii="Constantia" w:eastAsia="Times New Roman" w:hAnsi="Constantia" w:cs="Times New Roman"/>
      <w:b/>
      <w:bCs/>
      <w:sz w:val="24"/>
      <w:szCs w:val="24"/>
      <w:u w:val="single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8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15"/>
    <w:rPr>
      <w:rFonts w:ascii="Constantia" w:eastAsia="Times New Roman" w:hAnsi="Constantia" w:cs="Times New Roman"/>
      <w:b/>
      <w:bCs/>
      <w:sz w:val="24"/>
      <w:szCs w:val="24"/>
      <w:u w:val="single"/>
      <w:shd w:val="clear" w:color="auto" w:fill="FFFFFF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8BF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AD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D18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18B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18BF"/>
    <w:rPr>
      <w:color w:val="0000FF"/>
      <w:u w:val="single"/>
    </w:rPr>
  </w:style>
  <w:style w:type="paragraph" w:styleId="NoSpacing">
    <w:name w:val="No Spacing"/>
    <w:uiPriority w:val="1"/>
    <w:qFormat/>
    <w:rsid w:val="008B60D4"/>
    <w:pPr>
      <w:spacing w:after="0" w:line="240" w:lineRule="auto"/>
    </w:pPr>
    <w:rPr>
      <w:lang w:val="en-GB"/>
    </w:rPr>
  </w:style>
  <w:style w:type="table" w:customStyle="1" w:styleId="Table">
    <w:name w:val="Table"/>
    <w:semiHidden/>
    <w:unhideWhenUsed/>
    <w:qFormat/>
    <w:rsid w:val="004B36A5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1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rxiv.org/content/10.1101/2020.07.15.20154617v2" TargetMode="External"/><Relationship Id="rId13" Type="http://schemas.openxmlformats.org/officeDocument/2006/relationships/hyperlink" Target="https://www.icnarc.org/Our-Audit/Audits/Cmp/Reports" TargetMode="External"/><Relationship Id="rId18" Type="http://schemas.openxmlformats.org/officeDocument/2006/relationships/hyperlink" Target="https://mrc-ide.github.io/squi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rc-ide.github.io/squire" TargetMode="External"/><Relationship Id="rId7" Type="http://schemas.openxmlformats.org/officeDocument/2006/relationships/hyperlink" Target="https://www.ncbi.nlm.nih.gov/pmc/articles/PMC7506175/" TargetMode="External"/><Relationship Id="rId12" Type="http://schemas.openxmlformats.org/officeDocument/2006/relationships/hyperlink" Target="https://www.medrxiv.org/content/10.1101/2020.07.17.20155218v4.full" TargetMode="External"/><Relationship Id="rId17" Type="http://schemas.openxmlformats.org/officeDocument/2006/relationships/hyperlink" Target="https://www.imperial.ac.uk/mrc-global-infectious-disease-analysis/covid-19/report-34-if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mperial.ac.uk/mrc-global-infectious-disease-analysis/covid-19/report-34-ifr/" TargetMode="External"/><Relationship Id="rId20" Type="http://schemas.openxmlformats.org/officeDocument/2006/relationships/hyperlink" Target="https://mrc-ide.github.io/squir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lancet.com/journals/laninf/article/PIIS1473-3099(20)30287-5/fulltext" TargetMode="External"/><Relationship Id="rId11" Type="http://schemas.openxmlformats.org/officeDocument/2006/relationships/hyperlink" Target="https://www.icnarc.org/Our-Audit/Audits/Cmp/Reports" TargetMode="External"/><Relationship Id="rId5" Type="http://schemas.openxmlformats.org/officeDocument/2006/relationships/hyperlink" Target="https://www.nejm.org/doi/full/10.1056/NEJMoa2001316" TargetMode="External"/><Relationship Id="rId15" Type="http://schemas.openxmlformats.org/officeDocument/2006/relationships/hyperlink" Target="http://dx.doi.org/10.1126/science.abc351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edrxiv.org/content/10.1101/2020.07.17.20155218v4.full" TargetMode="External"/><Relationship Id="rId19" Type="http://schemas.openxmlformats.org/officeDocument/2006/relationships/hyperlink" Target="https://mrc-ide.github.io/squire" TargetMode="External"/><Relationship Id="rId4" Type="http://schemas.openxmlformats.org/officeDocument/2006/relationships/hyperlink" Target="https://www.medrxiv.org/content/medrxiv/early/2020/01/28/2020.01.26.20018754.full.pdf" TargetMode="External"/><Relationship Id="rId9" Type="http://schemas.openxmlformats.org/officeDocument/2006/relationships/hyperlink" Target="https://www.medrxiv.org/content/10.1101/2020.08.25.20181909v1" TargetMode="External"/><Relationship Id="rId14" Type="http://schemas.openxmlformats.org/officeDocument/2006/relationships/hyperlink" Target="http://dx.doi.org/10.1126/science.abc351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CHANGING PARAMETERS ACROSS MODELS</vt:lpstr>
      <vt:lpstr/>
      <vt:lpstr>FIXED SEIR PARAMETERS ACROSS MODELS AND COUNTRIES</vt:lpstr>
      <vt:lpstr/>
      <vt:lpstr>FIXED VACCINE PARAMETERS ACROSS MODELS AND COUNTRIES</vt:lpstr>
      <vt:lpstr>        </vt:lpstr>
      <vt:lpstr/>
      <vt:lpstr>AGE-SPECIFIC FIXED PARAMETERS ACROSS COUNTRIES AND MODELS</vt:lpstr>
      <vt:lpstr/>
      <vt:lpstr>FIXED PARAMETERS WITHIN COUNTRY </vt:lpstr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Sempe (DEV - Postgraduate Researcher)</dc:creator>
  <cp:keywords/>
  <dc:description/>
  <cp:lastModifiedBy>Lucas Sempe (DEV - Postgraduate Researcher)</cp:lastModifiedBy>
  <cp:revision>8</cp:revision>
  <dcterms:created xsi:type="dcterms:W3CDTF">2021-11-05T10:46:00Z</dcterms:created>
  <dcterms:modified xsi:type="dcterms:W3CDTF">2021-11-05T13:02:00Z</dcterms:modified>
</cp:coreProperties>
</file>