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10A7" w14:textId="77777777" w:rsidR="00AD18BF" w:rsidRPr="008B60D4" w:rsidRDefault="00AD18BF" w:rsidP="008B60D4">
      <w:pPr>
        <w:shd w:val="clear" w:color="auto" w:fill="FFFFFF"/>
        <w:spacing w:after="158" w:line="240" w:lineRule="auto"/>
        <w:jc w:val="center"/>
        <w:rPr>
          <w:rFonts w:ascii="Constantia" w:eastAsia="Times New Roman" w:hAnsi="Constantia" w:cs="Times New Roman"/>
          <w:b/>
          <w:bCs/>
          <w:sz w:val="40"/>
          <w:szCs w:val="40"/>
          <w:lang w:eastAsia="en-GB"/>
        </w:rPr>
      </w:pPr>
      <w:r w:rsidRPr="008B60D4">
        <w:rPr>
          <w:rFonts w:ascii="Constantia" w:eastAsia="Times New Roman" w:hAnsi="Constantia" w:cs="Times New Roman"/>
          <w:b/>
          <w:bCs/>
          <w:sz w:val="40"/>
          <w:szCs w:val="40"/>
          <w:lang w:eastAsia="en-GB"/>
        </w:rPr>
        <w:t>Model Parameters</w:t>
      </w:r>
    </w:p>
    <w:p w14:paraId="38733F1E" w14:textId="3C07786F" w:rsidR="008B60D4" w:rsidRPr="008B60D4" w:rsidRDefault="008B60D4" w:rsidP="00AD18BF">
      <w:pPr>
        <w:shd w:val="clear" w:color="auto" w:fill="FFFFFF"/>
        <w:spacing w:after="158" w:line="240" w:lineRule="auto"/>
        <w:rPr>
          <w:rFonts w:ascii="Constantia" w:eastAsia="Times New Roman" w:hAnsi="Constantia" w:cs="Times New Roman"/>
          <w:sz w:val="24"/>
          <w:szCs w:val="24"/>
          <w:lang w:eastAsia="en-GB"/>
        </w:rPr>
      </w:pP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1560"/>
        <w:gridCol w:w="5483"/>
      </w:tblGrid>
      <w:tr w:rsidR="008B60D4" w:rsidRPr="00AD18BF" w14:paraId="4D06BF9C" w14:textId="77777777" w:rsidTr="00DD0645">
        <w:trPr>
          <w:tblHeader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F5A063" w14:textId="794A884A" w:rsidR="00AD18BF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</w:pPr>
            <w:r w:rsidRPr="008B60D4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CHANGING</w:t>
            </w:r>
            <w:r w:rsidRPr="008B60D4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 xml:space="preserve"> PARAMETERS</w:t>
            </w:r>
            <w:r w:rsidRPr="008B60D4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 xml:space="preserve"> ACROSS MODELS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16F1E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Value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4AC8D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Reference</w:t>
            </w:r>
          </w:p>
        </w:tc>
      </w:tr>
      <w:tr w:rsidR="008B60D4" w:rsidRPr="00AD18BF" w14:paraId="0598BF75" w14:textId="77777777" w:rsidTr="00DD064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19AAB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Basic reproductive number, R0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7412D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highlight w:val="yellow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highlight w:val="yellow"/>
                <w:lang w:eastAsia="en-GB"/>
              </w:rPr>
              <w:t>3.0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C37E2" w14:textId="4034FE80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</w:p>
        </w:tc>
      </w:tr>
      <w:tr w:rsidR="008B60D4" w:rsidRPr="008B60D4" w14:paraId="7EF4E94D" w14:textId="77777777" w:rsidTr="00DD064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EE68E3" w14:textId="48BB1B83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8B60D4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Vaccination strategy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3AA99A" w14:textId="77777777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highlight w:val="yellow"/>
                <w:lang w:eastAsia="en-GB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894A52" w14:textId="77777777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</w:p>
        </w:tc>
      </w:tr>
      <w:tr w:rsidR="008B60D4" w:rsidRPr="008B60D4" w14:paraId="644C2F00" w14:textId="77777777" w:rsidTr="00DD064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7C91FB" w14:textId="4D1B512C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8B60D4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Vaccination coverage per age group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F93FC0" w14:textId="77777777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highlight w:val="yellow"/>
                <w:lang w:eastAsia="en-GB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0F5C14" w14:textId="77777777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</w:p>
        </w:tc>
      </w:tr>
      <w:tr w:rsidR="008B60D4" w:rsidRPr="008B60D4" w14:paraId="076FC14B" w14:textId="77777777" w:rsidTr="00DD064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E0497F" w14:textId="2C05E3FF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8B60D4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Maximum vaccines per day (MVC)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706C60" w14:textId="77777777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highlight w:val="yellow"/>
                <w:lang w:eastAsia="en-GB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FA4D2E" w14:textId="77777777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</w:p>
        </w:tc>
      </w:tr>
      <w:tr w:rsidR="008B60D4" w:rsidRPr="008B60D4" w14:paraId="128BB74E" w14:textId="77777777" w:rsidTr="00DD064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E18B8A" w14:textId="79086D66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8B60D4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Final estimation of vaccine coverage (FVC).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B30866" w14:textId="77777777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highlight w:val="yellow"/>
                <w:lang w:eastAsia="en-GB"/>
              </w:rPr>
            </w:pP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55EDAD" w14:textId="77777777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</w:p>
        </w:tc>
      </w:tr>
    </w:tbl>
    <w:p w14:paraId="5899D088" w14:textId="77777777" w:rsidR="008B60D4" w:rsidRPr="008B60D4" w:rsidRDefault="008B60D4" w:rsidP="005C18E0">
      <w:pPr>
        <w:tabs>
          <w:tab w:val="left" w:pos="3953"/>
          <w:tab w:val="left" w:pos="4897"/>
        </w:tabs>
        <w:spacing w:after="0" w:line="240" w:lineRule="auto"/>
        <w:ind w:left="120"/>
        <w:rPr>
          <w:rFonts w:ascii="Constantia" w:eastAsia="Times New Roman" w:hAnsi="Constantia" w:cs="Times New Roman"/>
          <w:sz w:val="24"/>
          <w:szCs w:val="24"/>
          <w:lang w:eastAsia="en-GB"/>
        </w:rPr>
      </w:pPr>
      <w:r w:rsidRPr="008B60D4">
        <w:rPr>
          <w:rFonts w:ascii="Constantia" w:eastAsia="Times New Roman" w:hAnsi="Constantia" w:cs="Times New Roman"/>
          <w:sz w:val="24"/>
          <w:szCs w:val="24"/>
          <w:lang w:eastAsia="en-GB"/>
        </w:rPr>
        <w:tab/>
      </w:r>
      <w:r w:rsidRPr="008B60D4">
        <w:rPr>
          <w:rFonts w:ascii="Constantia" w:eastAsia="Times New Roman" w:hAnsi="Constantia" w:cs="Times New Roman"/>
          <w:sz w:val="24"/>
          <w:szCs w:val="24"/>
          <w:lang w:eastAsia="en-GB"/>
        </w:rPr>
        <w:tab/>
      </w: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1560"/>
        <w:gridCol w:w="5483"/>
      </w:tblGrid>
      <w:tr w:rsidR="008B60D4" w:rsidRPr="008B60D4" w14:paraId="77E0216C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D99D10E" w14:textId="1686C0B2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8B60D4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FIXED</w:t>
            </w:r>
            <w:r w:rsidRPr="008B60D4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 xml:space="preserve"> PARAMETERS</w:t>
            </w:r>
            <w:r w:rsidRPr="008B60D4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 xml:space="preserve"> ACROSS MODELS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0F5E0FA" w14:textId="2D50FDEA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highlight w:val="yellow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Value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3C496F6" w14:textId="1729C756" w:rsidR="008B60D4" w:rsidRPr="008B60D4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Reference</w:t>
            </w:r>
          </w:p>
        </w:tc>
      </w:tr>
      <w:tr w:rsidR="008B60D4" w:rsidRPr="00AD18BF" w14:paraId="6A227B7A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5A3C6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Incubation Period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8CC95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4.6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D27F4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Estimated to be 5.1 days (</w:t>
            </w:r>
            <w:hyperlink r:id="rId4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Linton et al.</w:t>
              </w:r>
            </w:hyperlink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; </w:t>
            </w:r>
            <w:hyperlink r:id="rId5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Li et al.</w:t>
              </w:r>
            </w:hyperlink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 The last 0.5 days are included in the I_MILD and I_CASE states to capture pre-symptomatic infectivity</w:t>
            </w:r>
          </w:p>
        </w:tc>
      </w:tr>
      <w:tr w:rsidR="008B60D4" w:rsidRPr="00AD18BF" w14:paraId="2990E813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7EE3B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Generation Time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B3164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6.75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288A4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hyperlink r:id="rId6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Bi et al</w:t>
              </w:r>
            </w:hyperlink>
          </w:p>
        </w:tc>
      </w:tr>
      <w:tr w:rsidR="008B60D4" w:rsidRPr="00AD18BF" w14:paraId="32C21302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3FB57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in I_MILD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E1BA8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2.1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8012D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 xml:space="preserve">Incorporates 0.5 days of infectiousness prior to symptoms; with parameters below ~95% of all infections are mild. In combination with mean </w:t>
            </w: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lastRenderedPageBreak/>
              <w:t>duration in I_CASE this gives a mean generation time as above</w:t>
            </w:r>
          </w:p>
        </w:tc>
      </w:tr>
      <w:tr w:rsidR="008B60D4" w:rsidRPr="00AD18BF" w14:paraId="29AEEFF3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010B6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lastRenderedPageBreak/>
              <w:t>Mean Duration in I_CASE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DFFEB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4.5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FA021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onset-to-admission of 4 days. Values in the literature range from 1.2 to 12 days. Includes 0.5 days of infectiousness prior to symptom onset</w:t>
            </w:r>
          </w:p>
        </w:tc>
      </w:tr>
      <w:tr w:rsidR="008B60D4" w:rsidRPr="00AD18BF" w14:paraId="3A136825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80E93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of Hospitalisation for non-critical Cases (I_HOSP) if survive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3FA4F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9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6B1E4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Median value from five studies (</w:t>
            </w:r>
            <w:proofErr w:type="spellStart"/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fldChar w:fldCharType="begin"/>
            </w: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instrText xml:space="preserve"> HYPERLINK "https://www.medrxiv.org/content/10.1101/2020.04.17.20069724v4" </w:instrText>
            </w: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fldChar w:fldCharType="separate"/>
            </w:r>
            <w:r w:rsidRPr="00AD18BF">
              <w:rPr>
                <w:rFonts w:ascii="Constantia" w:eastAsia="Times New Roman" w:hAnsi="Constantia" w:cs="Times New Roman"/>
                <w:sz w:val="24"/>
                <w:szCs w:val="24"/>
                <w:u w:val="single"/>
                <w:lang w:eastAsia="en-GB"/>
              </w:rPr>
              <w:t>Sreevalsan</w:t>
            </w:r>
            <w:proofErr w:type="spellEnd"/>
            <w:r w:rsidRPr="00AD18BF">
              <w:rPr>
                <w:rFonts w:ascii="Constantia" w:eastAsia="Times New Roman" w:hAnsi="Constantia" w:cs="Times New Roman"/>
                <w:sz w:val="24"/>
                <w:szCs w:val="24"/>
                <w:u w:val="single"/>
                <w:lang w:eastAsia="en-GB"/>
              </w:rPr>
              <w:t>-Nair et al.</w:t>
            </w: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fldChar w:fldCharType="end"/>
            </w: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, </w:t>
            </w:r>
            <w:hyperlink r:id="rId7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Haw et al.</w:t>
              </w:r>
            </w:hyperlink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, </w:t>
            </w:r>
            <w:hyperlink r:id="rId8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Hawryluk et al.</w:t>
              </w:r>
            </w:hyperlink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, </w:t>
            </w:r>
            <w:hyperlink r:id="rId9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Oliveira et al.</w:t>
              </w:r>
            </w:hyperlink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, South African COVID-19 Modelling Consortium). Range from 8-15 days.</w:t>
            </w:r>
          </w:p>
        </w:tc>
      </w:tr>
      <w:tr w:rsidR="008B60D4" w:rsidRPr="00AD18BF" w14:paraId="27522B01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F3800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of Hospitalisation for non-critical Cases (I_HOSP) if die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40256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9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A68C5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As above</w:t>
            </w:r>
          </w:p>
        </w:tc>
      </w:tr>
      <w:tr w:rsidR="008B60D4" w:rsidRPr="00AD18BF" w14:paraId="6769B450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88C40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of Critical Care (I_ICU) if survive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92047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14.8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84A5D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in ICU of 13.3 days </w:t>
            </w:r>
            <w:hyperlink r:id="rId10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Pritchard et al.</w:t>
              </w:r>
            </w:hyperlink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. Ratio of duration in critical care if die: duration in critical care if survive of 0.75 and 60.1% probability of survival in ICU (</w:t>
            </w:r>
            <w:hyperlink r:id="rId11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ICNARC report</w:t>
              </w:r>
            </w:hyperlink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, from UK data, 16 October 2020)</w:t>
            </w:r>
          </w:p>
        </w:tc>
      </w:tr>
      <w:tr w:rsidR="008B60D4" w:rsidRPr="00AD18BF" w14:paraId="56886320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75BCB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of Critical Care (I_ICU) if die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968D1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11.1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6ED3F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in ICU of 13.3 days </w:t>
            </w:r>
            <w:hyperlink r:id="rId12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Pritchard et al.</w:t>
              </w:r>
            </w:hyperlink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. Ratio of duration in critical care if die: duration in critical care if survive of 0.75 and 60.1% probability of survival in ICU (</w:t>
            </w:r>
            <w:hyperlink r:id="rId13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ICNARC report</w:t>
              </w:r>
            </w:hyperlink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, from UK data, 16 October 2020)</w:t>
            </w:r>
          </w:p>
        </w:tc>
      </w:tr>
      <w:tr w:rsidR="008B60D4" w:rsidRPr="00AD18BF" w14:paraId="3506D499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FA947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of Stepdown post ICU (</w:t>
            </w:r>
            <w:proofErr w:type="spellStart"/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I_Rec</w:t>
            </w:r>
            <w:proofErr w:type="spellEnd"/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DDCCA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3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BFC9C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Working assumption based on unpublished UK data</w:t>
            </w:r>
          </w:p>
        </w:tc>
      </w:tr>
      <w:tr w:rsidR="008B60D4" w:rsidRPr="00AD18BF" w14:paraId="5CB93E04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6C8F2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of hospitalisation if require ICU but do not receive it and die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E42D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1 day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95A47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Working assumption</w:t>
            </w:r>
          </w:p>
        </w:tc>
      </w:tr>
      <w:tr w:rsidR="008B60D4" w:rsidRPr="00AD18BF" w14:paraId="438FE6CE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D12B1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of hospitalisation if require ICU but do not receive it and survive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2F814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7.4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3E0B2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Working assumption (Half duration of ICU and survive)</w:t>
            </w:r>
          </w:p>
        </w:tc>
      </w:tr>
      <w:tr w:rsidR="008B60D4" w:rsidRPr="00AD18BF" w14:paraId="71B0D97E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63406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of hospitalisation if require Oxygen but do not receive it and die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66CB8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4.5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5C4EF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Working assumption (Half duration of Oxygen and die)</w:t>
            </w:r>
          </w:p>
        </w:tc>
      </w:tr>
      <w:tr w:rsidR="008B60D4" w:rsidRPr="00AD18BF" w14:paraId="5A7CDAEA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49A5B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Mean duration of hospitalisation if require Oxygen but do not receive it and survive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57F8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4.5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5A6CD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Working assumption (Half duration of ICU and survive)</w:t>
            </w:r>
          </w:p>
        </w:tc>
      </w:tr>
      <w:tr w:rsidR="008B60D4" w:rsidRPr="00AD18BF" w14:paraId="134B2486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7380D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Probability of death if require critical care but do not receive it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F38E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95%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58E90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Working assumption based on expert clinical opinion</w:t>
            </w:r>
          </w:p>
        </w:tc>
      </w:tr>
      <w:tr w:rsidR="008B60D4" w:rsidRPr="00AD18BF" w14:paraId="7F09D2F1" w14:textId="77777777" w:rsidTr="005C18E0">
        <w:trPr>
          <w:trHeight w:val="397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4E5F9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Probability of death if require hospitalisation but do not receive it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74B43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60%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F1FF6" w14:textId="77777777" w:rsidR="008B60D4" w:rsidRPr="00AD18BF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Working assumption based on expert clinical opinion</w:t>
            </w:r>
          </w:p>
        </w:tc>
      </w:tr>
    </w:tbl>
    <w:p w14:paraId="3C392E01" w14:textId="77777777" w:rsidR="008B60D4" w:rsidRPr="008B60D4" w:rsidRDefault="008B60D4" w:rsidP="00AD18BF">
      <w:pPr>
        <w:shd w:val="clear" w:color="auto" w:fill="FFFFFF"/>
        <w:spacing w:after="158" w:line="240" w:lineRule="auto"/>
        <w:outlineLvl w:val="2"/>
        <w:rPr>
          <w:rFonts w:ascii="Constantia" w:eastAsia="Times New Roman" w:hAnsi="Constantia" w:cs="Times New Roman"/>
          <w:sz w:val="24"/>
          <w:szCs w:val="24"/>
          <w:lang w:eastAsia="en-GB"/>
        </w:rPr>
      </w:pPr>
    </w:p>
    <w:p w14:paraId="36EE58B2" w14:textId="42D3CC6A" w:rsidR="00AD18BF" w:rsidRPr="00AD18BF" w:rsidRDefault="00AD18BF" w:rsidP="00AD18BF">
      <w:pPr>
        <w:shd w:val="clear" w:color="auto" w:fill="FFFFFF"/>
        <w:spacing w:after="158" w:line="240" w:lineRule="auto"/>
        <w:outlineLvl w:val="2"/>
        <w:rPr>
          <w:rFonts w:ascii="Constantia" w:eastAsia="Times New Roman" w:hAnsi="Constantia" w:cs="Times New Roman"/>
          <w:b/>
          <w:bCs/>
          <w:sz w:val="24"/>
          <w:szCs w:val="24"/>
          <w:lang w:eastAsia="en-GB"/>
        </w:rPr>
      </w:pPr>
      <w:r w:rsidRPr="00AD18BF">
        <w:rPr>
          <w:rFonts w:ascii="Constantia" w:eastAsia="Times New Roman" w:hAnsi="Constantia" w:cs="Times New Roman"/>
          <w:b/>
          <w:bCs/>
          <w:sz w:val="24"/>
          <w:szCs w:val="24"/>
          <w:lang w:eastAsia="en-GB"/>
        </w:rPr>
        <w:t xml:space="preserve">Age-Specific </w:t>
      </w:r>
      <w:r w:rsidR="008B60D4" w:rsidRPr="008B60D4">
        <w:rPr>
          <w:rFonts w:ascii="Constantia" w:eastAsia="Times New Roman" w:hAnsi="Constantia" w:cs="Times New Roman"/>
          <w:b/>
          <w:bCs/>
          <w:sz w:val="24"/>
          <w:szCs w:val="24"/>
          <w:lang w:eastAsia="en-GB"/>
        </w:rPr>
        <w:t xml:space="preserve">Fixed </w:t>
      </w:r>
      <w:r w:rsidRPr="00AD18BF">
        <w:rPr>
          <w:rFonts w:ascii="Constantia" w:eastAsia="Times New Roman" w:hAnsi="Constantia" w:cs="Times New Roman"/>
          <w:b/>
          <w:bCs/>
          <w:sz w:val="24"/>
          <w:szCs w:val="24"/>
          <w:lang w:eastAsia="en-GB"/>
        </w:rPr>
        <w:t>Parameters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2276"/>
        <w:gridCol w:w="2638"/>
        <w:gridCol w:w="2348"/>
        <w:gridCol w:w="2247"/>
        <w:gridCol w:w="2136"/>
      </w:tblGrid>
      <w:tr w:rsidR="008B60D4" w:rsidRPr="00AD18BF" w14:paraId="27AC7C86" w14:textId="77777777" w:rsidTr="005C18E0">
        <w:trPr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CD62ED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Age-Group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591C2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Proportion of Infections Hospitalised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98E58B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Proportion of hospitalised cases requiring critical 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AAF13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Proportion of hospital deaths occurring in ICU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F5B92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Proportion of non-critical care cases dying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CD010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sz w:val="24"/>
                <w:szCs w:val="24"/>
                <w:lang w:eastAsia="en-GB"/>
              </w:rPr>
              <w:t>Proportion of critical care cases dying</w:t>
            </w:r>
          </w:p>
        </w:tc>
      </w:tr>
      <w:tr w:rsidR="008B60D4" w:rsidRPr="00AD18BF" w14:paraId="496F389A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1EF8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 to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E04F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A25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BFA6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1AD09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822E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0.227</w:t>
            </w:r>
          </w:p>
        </w:tc>
      </w:tr>
      <w:tr w:rsidR="008B60D4" w:rsidRPr="00AD18BF" w14:paraId="7EC63185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B599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5 to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7DF8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7EFD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8560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403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E2B7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0.252</w:t>
            </w:r>
          </w:p>
        </w:tc>
      </w:tr>
      <w:tr w:rsidR="008B60D4" w:rsidRPr="00AD18BF" w14:paraId="6F63C9D3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6AB7D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10 to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8ABD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0549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92BB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E3085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824A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0.281</w:t>
            </w:r>
          </w:p>
        </w:tc>
      </w:tr>
      <w:tr w:rsidR="008B60D4" w:rsidRPr="00AD18BF" w14:paraId="09AC9F41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2A0DB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15 to 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1DF7B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73710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868A9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3DB0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5BDBB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0.413</w:t>
            </w:r>
          </w:p>
        </w:tc>
      </w:tr>
      <w:tr w:rsidR="008B60D4" w:rsidRPr="00AD18BF" w14:paraId="710C34EF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3EE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20 to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7156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CFE3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0555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61B7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91EB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0.518</w:t>
            </w:r>
          </w:p>
        </w:tc>
      </w:tr>
      <w:tr w:rsidR="008B60D4" w:rsidRPr="00AD18BF" w14:paraId="33AEE691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7A89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25 to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B74C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B107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384D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FD40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F759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0.573</w:t>
            </w:r>
          </w:p>
        </w:tc>
      </w:tr>
      <w:tr w:rsidR="008B60D4" w:rsidRPr="00AD18BF" w14:paraId="42B244B1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011C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30 to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7F07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0DCE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72AF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7FD2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8911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0.576</w:t>
            </w:r>
          </w:p>
        </w:tc>
      </w:tr>
      <w:tr w:rsidR="008B60D4" w:rsidRPr="00AD18BF" w14:paraId="482C510F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21C8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35 to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D6C45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F44E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2D70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F756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84FDB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0.543</w:t>
            </w:r>
          </w:p>
        </w:tc>
      </w:tr>
      <w:tr w:rsidR="008B60D4" w:rsidRPr="00AD18BF" w14:paraId="6E0637E4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E97B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40 to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0586D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CFF80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2AA4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BC79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4C0D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0.494</w:t>
            </w:r>
          </w:p>
        </w:tc>
      </w:tr>
      <w:tr w:rsidR="008B60D4" w:rsidRPr="00AD18BF" w14:paraId="7B1DF7BD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B0C7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45 to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A9ED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C044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185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E9C9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95425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0.447</w:t>
            </w:r>
          </w:p>
        </w:tc>
      </w:tr>
      <w:tr w:rsidR="008B60D4" w:rsidRPr="00AD18BF" w14:paraId="39992961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607D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50 to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8B36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6610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4829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28DC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057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0.417</w:t>
            </w:r>
          </w:p>
        </w:tc>
      </w:tr>
      <w:tr w:rsidR="008B60D4" w:rsidRPr="00AD18BF" w14:paraId="1F34B4DB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539D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55 to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8D18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A5159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FBD7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45AE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0B74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0.411</w:t>
            </w:r>
          </w:p>
        </w:tc>
      </w:tr>
      <w:tr w:rsidR="008B60D4" w:rsidRPr="00AD18BF" w14:paraId="2E04C993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AEBA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60 to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F6B6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8A41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CC7E0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CA00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453E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0.443</w:t>
            </w:r>
          </w:p>
        </w:tc>
      </w:tr>
      <w:tr w:rsidR="008B60D4" w:rsidRPr="00AD18BF" w14:paraId="7C80A2CF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5C67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65 to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BE10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4B7E9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054D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384DD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CD41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0.539</w:t>
            </w:r>
          </w:p>
        </w:tc>
      </w:tr>
      <w:tr w:rsidR="008B60D4" w:rsidRPr="00AD18BF" w14:paraId="7AC7CA98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2CB1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70 to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6472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3E77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30989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18FD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A7A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0.570</w:t>
            </w:r>
          </w:p>
        </w:tc>
      </w:tr>
      <w:tr w:rsidR="008B60D4" w:rsidRPr="00AD18BF" w14:paraId="74EA7E52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41F0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75 to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657E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64FD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2DE8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FA395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349F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0.643</w:t>
            </w:r>
          </w:p>
        </w:tc>
      </w:tr>
      <w:tr w:rsidR="008B60D4" w:rsidRPr="00AD18BF" w14:paraId="4AC9A015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D02F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80+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72B8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D883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EE22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77D1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5A8C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0.993</w:t>
            </w:r>
          </w:p>
        </w:tc>
      </w:tr>
      <w:tr w:rsidR="008B60D4" w:rsidRPr="00AD18BF" w14:paraId="3ECF890C" w14:textId="77777777" w:rsidTr="005C18E0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F16C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99F45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hyperlink r:id="rId14" w:history="1">
              <w:proofErr w:type="spellStart"/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Salje</w:t>
              </w:r>
              <w:proofErr w:type="spellEnd"/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 xml:space="preserve"> et al.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FDEC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hyperlink r:id="rId15" w:history="1">
              <w:proofErr w:type="spellStart"/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Salje</w:t>
              </w:r>
              <w:proofErr w:type="spellEnd"/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 xml:space="preserve"> et al.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2416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Assumed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4B0D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Calculated from IFR in </w:t>
            </w:r>
            <w:hyperlink r:id="rId16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Report 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1E5F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sz w:val="24"/>
                <w:szCs w:val="24"/>
                <w:lang w:eastAsia="en-GB"/>
              </w:rPr>
              <w:t>Calculated from IFR in </w:t>
            </w:r>
            <w:hyperlink r:id="rId17" w:history="1">
              <w:r w:rsidRPr="00AD18BF">
                <w:rPr>
                  <w:rFonts w:ascii="Constantia" w:eastAsia="Times New Roman" w:hAnsi="Constantia" w:cs="Times New Roman"/>
                  <w:sz w:val="24"/>
                  <w:szCs w:val="24"/>
                  <w:u w:val="single"/>
                  <w:lang w:eastAsia="en-GB"/>
                </w:rPr>
                <w:t>Report 34</w:t>
              </w:r>
            </w:hyperlink>
          </w:p>
        </w:tc>
      </w:tr>
    </w:tbl>
    <w:p w14:paraId="35F8AB7F" w14:textId="6D047B9A" w:rsidR="00F80BA1" w:rsidRDefault="005C18E0">
      <w:pPr>
        <w:rPr>
          <w:rFonts w:ascii="Constantia" w:hAnsi="Constantia"/>
          <w:sz w:val="24"/>
          <w:szCs w:val="24"/>
        </w:rPr>
      </w:pPr>
    </w:p>
    <w:p w14:paraId="6006AD31" w14:textId="77777777" w:rsidR="005C18E0" w:rsidRPr="008B60D4" w:rsidRDefault="005C18E0">
      <w:pPr>
        <w:rPr>
          <w:rFonts w:ascii="Constantia" w:hAnsi="Constantia"/>
          <w:sz w:val="24"/>
          <w:szCs w:val="24"/>
        </w:rPr>
      </w:pPr>
    </w:p>
    <w:sectPr w:rsidR="005C18E0" w:rsidRPr="008B60D4" w:rsidSect="00AD18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BF"/>
    <w:rsid w:val="00003522"/>
    <w:rsid w:val="00512097"/>
    <w:rsid w:val="00577940"/>
    <w:rsid w:val="005C18E0"/>
    <w:rsid w:val="008B60D4"/>
    <w:rsid w:val="00AD18BF"/>
    <w:rsid w:val="00DD0645"/>
    <w:rsid w:val="00E20E2E"/>
    <w:rsid w:val="00FA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689F"/>
  <w15:chartTrackingRefBased/>
  <w15:docId w15:val="{34354BE1-9846-45C7-987F-A9F0E93D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AD18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BF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8BF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D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D18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18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18BF"/>
    <w:rPr>
      <w:color w:val="0000FF"/>
      <w:u w:val="single"/>
    </w:rPr>
  </w:style>
  <w:style w:type="paragraph" w:styleId="NoSpacing">
    <w:name w:val="No Spacing"/>
    <w:uiPriority w:val="1"/>
    <w:qFormat/>
    <w:rsid w:val="008B60D4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rxiv.org/content/10.1101/2020.07.15.20154617v2" TargetMode="External"/><Relationship Id="rId13" Type="http://schemas.openxmlformats.org/officeDocument/2006/relationships/hyperlink" Target="https://www.icnarc.org/Our-Audit/Audits/Cmp/Report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7506175/" TargetMode="External"/><Relationship Id="rId12" Type="http://schemas.openxmlformats.org/officeDocument/2006/relationships/hyperlink" Target="https://www.medrxiv.org/content/10.1101/2020.07.17.20155218v4.full" TargetMode="External"/><Relationship Id="rId17" Type="http://schemas.openxmlformats.org/officeDocument/2006/relationships/hyperlink" Target="https://www.imperial.ac.uk/mrc-global-infectious-disease-analysis/covid-19/report-34-if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mperial.ac.uk/mrc-global-infectious-disease-analysis/covid-19/report-34-if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lancet.com/journals/laninf/article/PIIS1473-3099(20)30287-5/fulltext" TargetMode="External"/><Relationship Id="rId11" Type="http://schemas.openxmlformats.org/officeDocument/2006/relationships/hyperlink" Target="https://www.icnarc.org/Our-Audit/Audits/Cmp/Reports" TargetMode="External"/><Relationship Id="rId5" Type="http://schemas.openxmlformats.org/officeDocument/2006/relationships/hyperlink" Target="https://www.nejm.org/doi/full/10.1056/NEJMoa2001316" TargetMode="External"/><Relationship Id="rId15" Type="http://schemas.openxmlformats.org/officeDocument/2006/relationships/hyperlink" Target="http://dx.doi.org/10.1126/science.abc3517" TargetMode="External"/><Relationship Id="rId10" Type="http://schemas.openxmlformats.org/officeDocument/2006/relationships/hyperlink" Target="https://www.medrxiv.org/content/10.1101/2020.07.17.20155218v4.ful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medrxiv.org/content/medrxiv/early/2020/01/28/2020.01.26.20018754.full.pdf" TargetMode="External"/><Relationship Id="rId9" Type="http://schemas.openxmlformats.org/officeDocument/2006/relationships/hyperlink" Target="https://www.medrxiv.org/content/10.1101/2020.08.25.20181909v1" TargetMode="External"/><Relationship Id="rId14" Type="http://schemas.openxmlformats.org/officeDocument/2006/relationships/hyperlink" Target="http://dx.doi.org/10.1126/science.abc3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</vt:lpstr>
      <vt:lpstr>        Age-Specific Fixed Parameters</vt:lpstr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Sempe (DEV - Postgraduate Researcher)</dc:creator>
  <cp:keywords/>
  <dc:description/>
  <cp:lastModifiedBy>Lucas Sempe (DEV - Postgraduate Researcher)</cp:lastModifiedBy>
  <cp:revision>2</cp:revision>
  <dcterms:created xsi:type="dcterms:W3CDTF">2021-11-05T10:46:00Z</dcterms:created>
  <dcterms:modified xsi:type="dcterms:W3CDTF">2021-11-05T12:12:00Z</dcterms:modified>
</cp:coreProperties>
</file>